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9513AC" w:rsidRDefault="00B24F6A" w:rsidP="004B0977">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52548E">
        <w:rPr>
          <w:rFonts w:ascii="Arial" w:hAnsi="Arial" w:cs="Arial"/>
          <w:b/>
          <w:bCs/>
          <w:sz w:val="28"/>
        </w:rPr>
        <w:t xml:space="preserve">3GPP TSG RAN WG1 </w:t>
      </w:r>
      <w:r>
        <w:rPr>
          <w:rFonts w:ascii="Arial" w:hAnsi="Arial" w:cs="Arial"/>
          <w:b/>
          <w:bCs/>
          <w:sz w:val="28"/>
        </w:rPr>
        <w:t xml:space="preserve">#98     </w:t>
      </w:r>
      <w:r>
        <w:rPr>
          <w:rFonts w:ascii="Arial" w:eastAsia="MS Mincho" w:hAnsi="Arial" w:cs="Arial" w:hint="eastAsia"/>
          <w:b/>
          <w:bCs/>
          <w:sz w:val="28"/>
          <w:lang w:eastAsia="ja-JP"/>
        </w:rPr>
        <w:t xml:space="preserve">        </w:t>
      </w:r>
      <w:r>
        <w:rPr>
          <w:rFonts w:ascii="Arial" w:eastAsia="MS Mincho" w:hAnsi="Arial" w:cs="Arial"/>
          <w:b/>
          <w:bCs/>
          <w:sz w:val="28"/>
          <w:lang w:eastAsia="ja-JP"/>
        </w:rPr>
        <w:tab/>
      </w:r>
      <w:r>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Pr>
          <w:rFonts w:ascii="Arial" w:hAnsi="Arial" w:cs="Arial"/>
          <w:b/>
          <w:bCs/>
          <w:sz w:val="28"/>
        </w:rPr>
        <w:t>R1-</w:t>
      </w:r>
      <w:r>
        <w:rPr>
          <w:rFonts w:ascii="Arial" w:hAnsi="Arial" w:cs="Arial"/>
          <w:b/>
          <w:bCs/>
          <w:color w:val="000000" w:themeColor="text1"/>
          <w:sz w:val="28"/>
        </w:rPr>
        <w:t>1</w:t>
      </w:r>
      <w:r w:rsidR="00C0433B">
        <w:rPr>
          <w:rFonts w:ascii="Arial" w:hAnsi="Arial" w:cs="Arial"/>
          <w:b/>
          <w:bCs/>
          <w:color w:val="000000" w:themeColor="text1"/>
          <w:sz w:val="28"/>
        </w:rPr>
        <w:t>908382</w:t>
      </w:r>
      <w:r>
        <w:rPr>
          <w:rFonts w:ascii="Arial" w:hAnsi="Arial" w:cs="Arial"/>
          <w:b/>
          <w:bCs/>
          <w:color w:val="000000" w:themeColor="text1"/>
          <w:sz w:val="28"/>
        </w:rPr>
        <w:t xml:space="preserve"> </w:t>
      </w:r>
      <w:r w:rsidR="006751B4">
        <w:rPr>
          <w:rFonts w:ascii="Arial" w:eastAsia="MS Mincho" w:hAnsi="Arial" w:cs="Arial"/>
          <w:b/>
          <w:bCs/>
          <w:sz w:val="28"/>
          <w:lang w:eastAsia="ja-JP"/>
        </w:rPr>
        <w:t>Prague, Czech Republic</w:t>
      </w:r>
      <w:r>
        <w:rPr>
          <w:rFonts w:ascii="Arial" w:eastAsia="MS Mincho" w:hAnsi="Arial" w:cs="Arial"/>
          <w:b/>
          <w:bCs/>
          <w:sz w:val="28"/>
          <w:lang w:eastAsia="ja-JP"/>
        </w:rPr>
        <w:t>,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CD549E" w:rsidRPr="00E509D2" w:rsidRDefault="00D433E2" w:rsidP="002C2D95">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2C2D95">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F101E4">
        <w:rPr>
          <w:rFonts w:ascii="Arial" w:eastAsia="PMingLiU" w:hAnsi="Arial" w:hint="eastAsia"/>
          <w:color w:val="000000"/>
          <w:sz w:val="24"/>
          <w:lang w:eastAsia="zh-TW"/>
        </w:rPr>
        <w:t>.</w:t>
      </w:r>
      <w:r w:rsidR="00F101E4">
        <w:rPr>
          <w:rFonts w:ascii="Arial" w:eastAsia="PMingLiU" w:hAnsi="Arial"/>
          <w:color w:val="000000"/>
          <w:sz w:val="24"/>
          <w:lang w:eastAsia="zh-TW"/>
        </w:rPr>
        <w:t>2.2</w:t>
      </w:r>
      <w:r w:rsidR="006C2961" w:rsidRPr="001548B9">
        <w:rPr>
          <w:rFonts w:ascii="Arial" w:eastAsia="PMingLiU" w:hAnsi="Arial" w:hint="eastAsia"/>
          <w:color w:val="000000"/>
          <w:sz w:val="24"/>
          <w:lang w:eastAsia="zh-TW"/>
        </w:rPr>
        <w:t>.</w:t>
      </w:r>
      <w:r w:rsidR="00A830DD">
        <w:rPr>
          <w:rFonts w:ascii="Arial" w:eastAsia="PMingLiU" w:hAnsi="Arial"/>
          <w:color w:val="000000"/>
          <w:sz w:val="24"/>
          <w:lang w:eastAsia="zh-TW"/>
        </w:rPr>
        <w:t>1</w:t>
      </w:r>
      <w:r w:rsidR="00D76FD2">
        <w:rPr>
          <w:rFonts w:ascii="Arial" w:eastAsia="PMingLiU" w:hAnsi="Arial"/>
          <w:color w:val="000000"/>
          <w:sz w:val="24"/>
          <w:lang w:eastAsia="zh-TW"/>
        </w:rPr>
        <w:t>.1</w:t>
      </w:r>
    </w:p>
    <w:p w:rsidR="0004296E" w:rsidRPr="00E0326F" w:rsidRDefault="0004296E" w:rsidP="002C2D95">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D63C5A">
        <w:rPr>
          <w:rFonts w:ascii="Arial" w:hAnsi="Arial"/>
          <w:sz w:val="24"/>
        </w:rPr>
        <w:t xml:space="preserve">On </w:t>
      </w:r>
      <w:r w:rsidR="00805B01">
        <w:rPr>
          <w:rFonts w:ascii="Arial" w:hAnsi="Arial"/>
          <w:sz w:val="24"/>
        </w:rPr>
        <w:t>I</w:t>
      </w:r>
      <w:r w:rsidR="00A830DD">
        <w:rPr>
          <w:rFonts w:ascii="Arial" w:hAnsi="Arial"/>
          <w:sz w:val="24"/>
        </w:rPr>
        <w:t xml:space="preserve">nitial </w:t>
      </w:r>
      <w:r w:rsidR="00805B01">
        <w:rPr>
          <w:rFonts w:ascii="Arial" w:hAnsi="Arial"/>
          <w:sz w:val="24"/>
        </w:rPr>
        <w:t>A</w:t>
      </w:r>
      <w:r w:rsidR="001207E5">
        <w:rPr>
          <w:rFonts w:ascii="Arial" w:hAnsi="Arial"/>
          <w:sz w:val="24"/>
        </w:rPr>
        <w:t xml:space="preserve">ccess </w:t>
      </w:r>
      <w:r w:rsidR="00805B01">
        <w:rPr>
          <w:rFonts w:ascii="Arial" w:hAnsi="Arial"/>
          <w:sz w:val="24"/>
        </w:rPr>
        <w:t>Signals and C</w:t>
      </w:r>
      <w:r w:rsidR="00A830DD">
        <w:rPr>
          <w:rFonts w:ascii="Arial" w:hAnsi="Arial"/>
          <w:sz w:val="24"/>
        </w:rPr>
        <w:t>hannels for NR-U</w:t>
      </w:r>
    </w:p>
    <w:p w:rsidR="00CD549E" w:rsidRPr="00C412EE"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2C2D95">
      <w:pPr>
        <w:pStyle w:val="Heading1"/>
        <w:jc w:val="both"/>
      </w:pPr>
      <w:r>
        <w:t>Introduction</w:t>
      </w:r>
    </w:p>
    <w:p w:rsidR="00FD4605" w:rsidRDefault="00FD4605" w:rsidP="00FD4605">
      <w:pPr>
        <w:spacing w:after="120"/>
        <w:jc w:val="both"/>
        <w:rPr>
          <w:lang w:eastAsia="x-none"/>
        </w:rPr>
      </w:pPr>
      <w:r>
        <w:t>The work</w:t>
      </w:r>
      <w:r w:rsidRPr="0064588D">
        <w:t xml:space="preserve"> item proposal </w:t>
      </w:r>
      <w:r>
        <w:t>for</w:t>
      </w:r>
      <w:r w:rsidRPr="0064588D">
        <w:t xml:space="preserve"> NR-based A</w:t>
      </w:r>
      <w:r>
        <w:t>ccess to Unlicensed Spectrum</w:t>
      </w:r>
      <w:r w:rsidRPr="0064588D">
        <w:t xml:space="preserve"> was approved in RAN-</w:t>
      </w:r>
      <w:r>
        <w:t>82</w:t>
      </w:r>
      <w:r w:rsidRPr="0064588D">
        <w:t xml:space="preserve"> in </w:t>
      </w:r>
      <w:r>
        <w:t>December</w:t>
      </w:r>
      <w:r w:rsidRPr="0064588D">
        <w:t>, 201</w:t>
      </w:r>
      <w:r>
        <w:t xml:space="preserve">8 </w:t>
      </w:r>
      <w:r>
        <w:fldChar w:fldCharType="begin"/>
      </w:r>
      <w:r>
        <w:instrText xml:space="preserve"> REF _Ref528853922 \r \h </w:instrText>
      </w:r>
      <w:r>
        <w:fldChar w:fldCharType="separate"/>
      </w:r>
      <w:r w:rsidR="006D5732">
        <w:t>[1]</w:t>
      </w:r>
      <w:r>
        <w:fldChar w:fldCharType="end"/>
      </w:r>
      <w:r>
        <w:t xml:space="preserve">. </w:t>
      </w:r>
    </w:p>
    <w:p w:rsidR="008D3BB9" w:rsidRPr="000F383D" w:rsidRDefault="00FD4605" w:rsidP="00DC1298">
      <w:pPr>
        <w:jc w:val="both"/>
        <w:rPr>
          <w:color w:val="000000" w:themeColor="text1"/>
        </w:rPr>
      </w:pPr>
      <w:r>
        <w:t>In th</w:t>
      </w:r>
      <w:r w:rsidR="00DF0B45">
        <w:t xml:space="preserve">is contribution, we discuss some of </w:t>
      </w:r>
      <w:r w:rsidR="00DF0B45">
        <w:rPr>
          <w:color w:val="000000" w:themeColor="text1"/>
        </w:rPr>
        <w:t xml:space="preserve">the remaining issues in initial access signal/channel design. </w:t>
      </w:r>
    </w:p>
    <w:p w:rsidR="00BF32B0" w:rsidRPr="00BF32B0" w:rsidRDefault="00D00155" w:rsidP="00BF32B0">
      <w:pPr>
        <w:pStyle w:val="Heading1"/>
      </w:pPr>
      <w:r>
        <w:t xml:space="preserve">NR-U </w:t>
      </w:r>
      <w:r w:rsidR="00BF32B0">
        <w:t>DRS Design</w:t>
      </w:r>
    </w:p>
    <w:p w:rsidR="00731E00" w:rsidRDefault="00A01186" w:rsidP="00A01186">
      <w:pPr>
        <w:rPr>
          <w:lang w:val="en-GB"/>
        </w:rPr>
      </w:pPr>
      <w:r>
        <w:rPr>
          <w:lang w:val="en-GB"/>
        </w:rPr>
        <w:t xml:space="preserve">In this section, we share our views on some remaining issues regarding NR-U DRS design such as SSB pattern in a slot, Type-0 PDCCH configuration, and DL transmission indicator in DRS for UE power saving. </w:t>
      </w:r>
    </w:p>
    <w:p w:rsidR="00916AC2" w:rsidRDefault="00916AC2" w:rsidP="00916AC2">
      <w:pPr>
        <w:pStyle w:val="Heading2"/>
      </w:pPr>
      <w:r>
        <w:t>SS/PBCH block structure</w:t>
      </w:r>
    </w:p>
    <w:p w:rsidR="00C6593E" w:rsidRDefault="00FD254D" w:rsidP="00367D6B">
      <w:r>
        <w:t xml:space="preserve">At the previous RAN1 #96bis meeting, the following agreements were made about SSB positions in a slot and Type0-PDCCH configuration. </w:t>
      </w:r>
    </w:p>
    <w:tbl>
      <w:tblPr>
        <w:tblStyle w:val="TableGrid"/>
        <w:tblW w:w="0" w:type="auto"/>
        <w:tblLook w:val="04A0" w:firstRow="1" w:lastRow="0" w:firstColumn="1" w:lastColumn="0" w:noHBand="0" w:noVBand="1"/>
      </w:tblPr>
      <w:tblGrid>
        <w:gridCol w:w="9631"/>
      </w:tblGrid>
      <w:tr w:rsidR="00B56695" w:rsidRPr="00B56695" w:rsidTr="00B56695">
        <w:tc>
          <w:tcPr>
            <w:tcW w:w="9631" w:type="dxa"/>
          </w:tcPr>
          <w:p w:rsidR="00B56695" w:rsidRPr="00B56695" w:rsidRDefault="00B56695" w:rsidP="00B56695">
            <w:pPr>
              <w:rPr>
                <w:rFonts w:ascii="Times New Roman" w:hAnsi="Times New Roman"/>
                <w:lang w:eastAsia="x-none"/>
              </w:rPr>
            </w:pPr>
            <w:r w:rsidRPr="00B56695">
              <w:rPr>
                <w:rFonts w:ascii="Times New Roman" w:hAnsi="Times New Roman"/>
                <w:highlight w:val="green"/>
                <w:lang w:eastAsia="x-none"/>
              </w:rPr>
              <w:t>Agreement:</w:t>
            </w:r>
            <w:r w:rsidR="00447904">
              <w:rPr>
                <w:rFonts w:ascii="Times New Roman" w:hAnsi="Times New Roman"/>
                <w:lang w:eastAsia="x-none"/>
              </w:rPr>
              <w:t xml:space="preserve"> </w:t>
            </w:r>
          </w:p>
          <w:p w:rsidR="00B56695" w:rsidRPr="00B56695" w:rsidRDefault="00B56695" w:rsidP="00B56695">
            <w:pPr>
              <w:rPr>
                <w:rFonts w:ascii="Times New Roman" w:hAnsi="Times New Roman"/>
                <w:lang w:eastAsia="x-none"/>
              </w:rPr>
            </w:pPr>
            <w:r w:rsidRPr="00EE7463">
              <w:rPr>
                <w:rFonts w:ascii="Times New Roman" w:hAnsi="Times New Roman"/>
                <w:lang w:eastAsia="x-none"/>
              </w:rPr>
              <w:t>Only coreset #0 lengths of 1 and 2 symbols are supported for NR-U</w:t>
            </w:r>
          </w:p>
          <w:p w:rsidR="00B56695" w:rsidRPr="00B56695" w:rsidRDefault="00B56695" w:rsidP="00B56695">
            <w:pPr>
              <w:rPr>
                <w:rFonts w:ascii="Times New Roman" w:hAnsi="Times New Roman"/>
                <w:lang w:eastAsia="x-none"/>
              </w:rPr>
            </w:pPr>
            <w:r w:rsidRPr="00B56695">
              <w:rPr>
                <w:rFonts w:ascii="Times New Roman" w:hAnsi="Times New Roman"/>
                <w:highlight w:val="green"/>
                <w:lang w:eastAsia="x-none"/>
              </w:rPr>
              <w:t>Agreement:</w:t>
            </w:r>
          </w:p>
          <w:p w:rsidR="00B56695" w:rsidRPr="00B56695" w:rsidRDefault="00B56695" w:rsidP="00B56695">
            <w:pPr>
              <w:rPr>
                <w:rFonts w:ascii="Times New Roman" w:hAnsi="Times New Roman"/>
                <w:lang w:eastAsia="x-none"/>
              </w:rPr>
            </w:pPr>
            <w:r w:rsidRPr="00B56695">
              <w:rPr>
                <w:rFonts w:ascii="Times New Roman" w:hAnsi="Times New Roman"/>
                <w:lang w:eastAsia="x-none"/>
              </w:rPr>
              <w:t>Select one of the following options in RAN1 #97:</w:t>
            </w:r>
          </w:p>
          <w:p w:rsidR="00B56695" w:rsidRPr="00B56695" w:rsidRDefault="00B56695" w:rsidP="00B56695">
            <w:pPr>
              <w:numPr>
                <w:ilvl w:val="0"/>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Alt 1: Legacy SSB positions in a slot</w:t>
            </w:r>
          </w:p>
          <w:p w:rsidR="00B56695" w:rsidRPr="00B56695" w:rsidRDefault="00B56695" w:rsidP="00B56695">
            <w:pPr>
              <w:numPr>
                <w:ilvl w:val="1"/>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 xml:space="preserve">Support Type0-PDCCH in symbol (#0, #1) for length-2 coreset 0 and symbol (#0) for length-1 coreset 0 </w:t>
            </w:r>
            <w:r w:rsidRPr="00EE7463">
              <w:rPr>
                <w:rFonts w:ascii="Times New Roman" w:hAnsi="Times New Roman"/>
                <w:lang w:eastAsia="x-none"/>
              </w:rPr>
              <w:t>at least</w:t>
            </w:r>
            <w:r w:rsidRPr="00B56695">
              <w:rPr>
                <w:rFonts w:ascii="Times New Roman" w:hAnsi="Times New Roman"/>
                <w:lang w:eastAsia="x-none"/>
              </w:rPr>
              <w:t xml:space="preserve"> for the first SSB in a slot</w:t>
            </w:r>
          </w:p>
          <w:p w:rsidR="00B56695" w:rsidRPr="00B56695" w:rsidRDefault="00B56695" w:rsidP="00B56695">
            <w:pPr>
              <w:numPr>
                <w:ilvl w:val="1"/>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Support Type0-PDCCH in symbol (#6, #7) for length-2 coreset 0 and symbol #6 or symbol #7 for length-1 coreset 0 for the second SSB in a slot</w:t>
            </w:r>
          </w:p>
          <w:p w:rsidR="00B56695" w:rsidRPr="00B56695" w:rsidRDefault="00B56695" w:rsidP="00B56695">
            <w:pPr>
              <w:numPr>
                <w:ilvl w:val="2"/>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FFS: configurable between symbols #6 and #7 for the length-1 coreset 0 for the second SSB in a slot</w:t>
            </w:r>
          </w:p>
          <w:p w:rsidR="00B56695" w:rsidRPr="00B56695" w:rsidRDefault="00B56695" w:rsidP="00B56695">
            <w:pPr>
              <w:numPr>
                <w:ilvl w:val="0"/>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Alt2: New SSB positions in a slot</w:t>
            </w:r>
          </w:p>
          <w:p w:rsidR="00B56695" w:rsidRPr="00B56695" w:rsidRDefault="00B56695" w:rsidP="00B56695">
            <w:pPr>
              <w:numPr>
                <w:ilvl w:val="1"/>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Support Type0-PDCCH in symbol (#0, #1) for length-2 coreset 0 and symbol (#0) for length-1 coreset 0 for the first SSB in a slot</w:t>
            </w:r>
          </w:p>
          <w:p w:rsidR="00B56695" w:rsidRPr="00B56695" w:rsidRDefault="00B56695" w:rsidP="00B56695">
            <w:pPr>
              <w:numPr>
                <w:ilvl w:val="1"/>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Support Type0-PDCCH in symbol (#7, #8) for length-2 coreset 0 and symbol (#7) for length-1 coreset 0 for the second SSB in a slot</w:t>
            </w:r>
          </w:p>
          <w:p w:rsidR="00B56695" w:rsidRPr="00B56695" w:rsidRDefault="00B56695" w:rsidP="00B56695">
            <w:pPr>
              <w:numPr>
                <w:ilvl w:val="0"/>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Alt 3: Legacy SSB positions in a slot</w:t>
            </w:r>
          </w:p>
          <w:p w:rsidR="00B56695" w:rsidRPr="00B56695" w:rsidRDefault="00B56695" w:rsidP="00B56695">
            <w:pPr>
              <w:numPr>
                <w:ilvl w:val="1"/>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Support Type0-PDCCH in symbol (#0, #1) for length-2 coreset 0 and symbol (#0) for length-1 coreset 0 for the first SSB in a slot</w:t>
            </w:r>
          </w:p>
          <w:p w:rsidR="00B56695" w:rsidRPr="00B56695" w:rsidRDefault="00B56695" w:rsidP="00367D6B">
            <w:pPr>
              <w:numPr>
                <w:ilvl w:val="1"/>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Support Type0-PDCCH in symbol (#7) for coreset 0 for the second SSB in a slot</w:t>
            </w:r>
          </w:p>
        </w:tc>
      </w:tr>
    </w:tbl>
    <w:p w:rsidR="00B56695" w:rsidRPr="00367D6B" w:rsidRDefault="00B56695" w:rsidP="00367D6B"/>
    <w:p w:rsidR="00916AC2" w:rsidRDefault="00916AC2" w:rsidP="00916AC2">
      <w:pPr>
        <w:jc w:val="both"/>
        <w:rPr>
          <w:lang w:val="en-GB" w:eastAsia="zh-CN"/>
        </w:rPr>
      </w:pPr>
      <w:r>
        <w:rPr>
          <w:lang w:val="en-GB" w:eastAsia="zh-CN"/>
        </w:rPr>
        <w:t xml:space="preserve">The DRS shift granularity has not yet been </w:t>
      </w:r>
      <w:r w:rsidR="000E0241">
        <w:rPr>
          <w:lang w:val="en-GB" w:eastAsia="zh-CN"/>
        </w:rPr>
        <w:t>agreed</w:t>
      </w:r>
      <w:r>
        <w:rPr>
          <w:lang w:val="en-GB" w:eastAsia="zh-CN"/>
        </w:rPr>
        <w:t>. However, since one SS/PBCH block is allocated in each half slot, it is intuitive to assume that the DRS shift granularity is half slot. This implies DRS may be transmitted from the middle of a slot. In this case, there is only one symbol that can be allocated for PDCCH transmission in the beginning of the second half slot in Case A and Case C. Therefore, we propose that the SS/PBCH symbol positions should be changed from (8, 9, 10, 11) to (9, 10, 11, 12) to have a same SS/PBCH block structure in any half slot.</w:t>
      </w:r>
      <w:r w:rsidR="004529B6">
        <w:rPr>
          <w:lang w:val="en-GB" w:eastAsia="zh-CN"/>
        </w:rPr>
        <w:t xml:space="preserve"> In other words, we think </w:t>
      </w:r>
      <w:r w:rsidR="00245E82">
        <w:rPr>
          <w:lang w:val="en-GB" w:eastAsia="zh-CN"/>
        </w:rPr>
        <w:t>Alt</w:t>
      </w:r>
      <w:r w:rsidR="004529B6">
        <w:rPr>
          <w:lang w:val="en-GB" w:eastAsia="zh-CN"/>
        </w:rPr>
        <w:t xml:space="preserve">2 </w:t>
      </w:r>
      <w:r w:rsidR="00245E82">
        <w:rPr>
          <w:lang w:val="en-GB" w:eastAsia="zh-CN"/>
        </w:rPr>
        <w:t xml:space="preserve">in the above agreements </w:t>
      </w:r>
      <w:r w:rsidR="004529B6">
        <w:rPr>
          <w:lang w:val="en-GB" w:eastAsia="zh-CN"/>
        </w:rPr>
        <w:t xml:space="preserve">should be supported so that SSBs are at symbols (2, 3, 4, 5) and (9, 10, 11, 12) in a slot. </w:t>
      </w:r>
      <w:r>
        <w:rPr>
          <w:lang w:val="en-GB" w:eastAsia="zh-CN"/>
        </w:rPr>
        <w:t xml:space="preserve"> </w:t>
      </w:r>
    </w:p>
    <w:p w:rsidR="00916AC2" w:rsidRPr="00637486" w:rsidRDefault="00916AC2" w:rsidP="00916AC2">
      <w:pPr>
        <w:pStyle w:val="Caption"/>
      </w:pPr>
      <w:bookmarkStart w:id="1" w:name="_Ref1154833"/>
      <w:bookmarkStart w:id="2" w:name="_Ref7697531"/>
      <w:r>
        <w:lastRenderedPageBreak/>
        <w:t xml:space="preserve">Proposal </w:t>
      </w:r>
      <w:r w:rsidR="0096782A">
        <w:fldChar w:fldCharType="begin"/>
      </w:r>
      <w:r w:rsidR="0096782A">
        <w:instrText xml:space="preserve"> SEQ Proposal \* ARABIC </w:instrText>
      </w:r>
      <w:r w:rsidR="0096782A">
        <w:fldChar w:fldCharType="separate"/>
      </w:r>
      <w:r w:rsidR="006D5732">
        <w:rPr>
          <w:noProof/>
        </w:rPr>
        <w:t>1</w:t>
      </w:r>
      <w:r w:rsidR="0096782A">
        <w:rPr>
          <w:noProof/>
        </w:rPr>
        <w:fldChar w:fldCharType="end"/>
      </w:r>
      <w:r>
        <w:t xml:space="preserve">: </w:t>
      </w:r>
      <w:r w:rsidR="00DC485D">
        <w:t xml:space="preserve">Support </w:t>
      </w:r>
      <w:r w:rsidR="00965582">
        <w:t xml:space="preserve">SS/PBCH blocks </w:t>
      </w:r>
      <w:r w:rsidR="00DC485D">
        <w:t xml:space="preserve">to </w:t>
      </w:r>
      <w:r w:rsidR="00181FE1">
        <w:t>be</w:t>
      </w:r>
      <w:r w:rsidR="00965582">
        <w:t xml:space="preserve"> located symbol</w:t>
      </w:r>
      <w:r w:rsidR="00EC35C4">
        <w:t>s</w:t>
      </w:r>
      <w:r w:rsidR="00965582">
        <w:t xml:space="preserve"> (2, 3, 4, 5) and (9</w:t>
      </w:r>
      <w:r w:rsidR="00181FE1">
        <w:t xml:space="preserve">, 10, 11, 12) in a </w:t>
      </w:r>
      <w:r w:rsidR="00702013">
        <w:t>slot</w:t>
      </w:r>
      <w:bookmarkEnd w:id="1"/>
      <w:r w:rsidR="00DC485D">
        <w:t xml:space="preserve"> for NR-U</w:t>
      </w:r>
      <w:r w:rsidR="00055B2F">
        <w:t>. In other words</w:t>
      </w:r>
      <w:r w:rsidR="00E22E62">
        <w:t xml:space="preserve">, </w:t>
      </w:r>
      <w:r w:rsidR="00055B2F">
        <w:t>suppo</w:t>
      </w:r>
      <w:r w:rsidR="00E22E62">
        <w:t>rt Alt2 for SSB positions in a slot.</w:t>
      </w:r>
      <w:bookmarkEnd w:id="2"/>
      <w:r w:rsidR="00E22E62">
        <w:t xml:space="preserve"> </w:t>
      </w:r>
    </w:p>
    <w:p w:rsidR="00916AC2" w:rsidRDefault="00916AC2" w:rsidP="00916AC2"/>
    <w:p w:rsidR="005A148C" w:rsidRDefault="005A148C" w:rsidP="005A148C">
      <w:pPr>
        <w:pStyle w:val="Heading2"/>
        <w:rPr>
          <w:lang w:eastAsia="zh-CN"/>
        </w:rPr>
      </w:pPr>
      <w:r>
        <w:rPr>
          <w:lang w:eastAsia="zh-CN"/>
        </w:rPr>
        <w:t xml:space="preserve">Type0-PDCCH Monitoring </w:t>
      </w:r>
    </w:p>
    <w:p w:rsidR="005A148C" w:rsidRPr="00E83327" w:rsidRDefault="005A148C" w:rsidP="005A148C">
      <w:pPr>
        <w:rPr>
          <w:lang w:val="en-GB" w:eastAsia="zh-CN"/>
        </w:rPr>
      </w:pPr>
      <w:r>
        <w:rPr>
          <w:lang w:val="en-GB" w:eastAsia="zh-CN"/>
        </w:rPr>
        <w:t xml:space="preserve">The following agreements have been made about Type0-PDCCH monitoring. </w:t>
      </w:r>
    </w:p>
    <w:tbl>
      <w:tblPr>
        <w:tblStyle w:val="TableGrid"/>
        <w:tblW w:w="0" w:type="auto"/>
        <w:tblLook w:val="04A0" w:firstRow="1" w:lastRow="0" w:firstColumn="1" w:lastColumn="0" w:noHBand="0" w:noVBand="1"/>
      </w:tblPr>
      <w:tblGrid>
        <w:gridCol w:w="9631"/>
      </w:tblGrid>
      <w:tr w:rsidR="005A148C" w:rsidRPr="002C3037" w:rsidTr="000E3F2F">
        <w:tc>
          <w:tcPr>
            <w:tcW w:w="9631" w:type="dxa"/>
          </w:tcPr>
          <w:p w:rsidR="005A148C" w:rsidRPr="002C3037" w:rsidRDefault="005A148C" w:rsidP="000E3F2F">
            <w:pPr>
              <w:rPr>
                <w:rFonts w:ascii="Times New Roman" w:hAnsi="Times New Roman"/>
                <w:lang w:eastAsia="x-none"/>
              </w:rPr>
            </w:pPr>
            <w:r w:rsidRPr="002C3037">
              <w:rPr>
                <w:rFonts w:ascii="Times New Roman" w:hAnsi="Times New Roman"/>
                <w:highlight w:val="green"/>
                <w:lang w:eastAsia="x-none"/>
              </w:rPr>
              <w:t>Agreement:</w:t>
            </w:r>
            <w:r w:rsidRPr="002C3037">
              <w:rPr>
                <w:rFonts w:ascii="Times New Roman" w:hAnsi="Times New Roman"/>
                <w:lang w:eastAsia="x-none"/>
              </w:rPr>
              <w:t xml:space="preserve"> (Ad-hoc 1901)</w:t>
            </w:r>
          </w:p>
          <w:p w:rsidR="005A148C" w:rsidRPr="002C3037" w:rsidRDefault="005A148C" w:rsidP="000E3F2F">
            <w:pPr>
              <w:rPr>
                <w:rFonts w:ascii="Times New Roman" w:hAnsi="Times New Roman"/>
                <w:lang w:eastAsia="x-none"/>
              </w:rPr>
            </w:pPr>
            <w:r w:rsidRPr="002C3037">
              <w:rPr>
                <w:rFonts w:ascii="Times New Roman" w:hAnsi="Times New Roman"/>
                <w:lang w:eastAsia="x-none"/>
              </w:rPr>
              <w:t>The Type0-PDCCH monitoring configuration for NR-U should satisfy at least the following properties:</w:t>
            </w:r>
          </w:p>
          <w:p w:rsidR="005A148C" w:rsidRPr="002C3037" w:rsidRDefault="005A148C" w:rsidP="005A148C">
            <w:pPr>
              <w:numPr>
                <w:ilvl w:val="0"/>
                <w:numId w:val="37"/>
              </w:numPr>
              <w:overflowPunct/>
              <w:autoSpaceDE/>
              <w:autoSpaceDN/>
              <w:adjustRightInd/>
              <w:spacing w:after="0"/>
              <w:textAlignment w:val="auto"/>
              <w:rPr>
                <w:rFonts w:ascii="Times New Roman" w:hAnsi="Times New Roman"/>
                <w:lang w:eastAsia="x-none"/>
              </w:rPr>
            </w:pPr>
            <w:r w:rsidRPr="002C3037">
              <w:rPr>
                <w:rFonts w:ascii="Times New Roman" w:hAnsi="Times New Roman"/>
                <w:lang w:eastAsia="x-none"/>
              </w:rPr>
              <w:t>TDM of Type0-PDCCH and SSB similar to existing pattern 1 (already agreed)</w:t>
            </w:r>
          </w:p>
          <w:p w:rsidR="005A148C" w:rsidRPr="002C3037" w:rsidRDefault="005A148C" w:rsidP="005A148C">
            <w:pPr>
              <w:numPr>
                <w:ilvl w:val="0"/>
                <w:numId w:val="37"/>
              </w:numPr>
              <w:overflowPunct/>
              <w:autoSpaceDE/>
              <w:autoSpaceDN/>
              <w:adjustRightInd/>
              <w:spacing w:after="0"/>
              <w:textAlignment w:val="auto"/>
              <w:rPr>
                <w:rFonts w:ascii="Times New Roman" w:hAnsi="Times New Roman"/>
                <w:lang w:eastAsia="x-none"/>
              </w:rPr>
            </w:pPr>
            <w:r w:rsidRPr="002C3037">
              <w:rPr>
                <w:rFonts w:ascii="Times New Roman" w:hAnsi="Times New Roman"/>
                <w:lang w:eastAsia="x-none"/>
              </w:rPr>
              <w:t>Support the monitoring of Type0 PDCCH of the 2</w:t>
            </w:r>
            <w:r w:rsidRPr="002C3037">
              <w:rPr>
                <w:rFonts w:ascii="Times New Roman" w:hAnsi="Times New Roman"/>
                <w:vertAlign w:val="superscript"/>
                <w:lang w:eastAsia="x-none"/>
              </w:rPr>
              <w:t>nd</w:t>
            </w:r>
            <w:r w:rsidRPr="002C3037">
              <w:rPr>
                <w:rFonts w:ascii="Times New Roman" w:hAnsi="Times New Roman"/>
                <w:lang w:eastAsia="x-none"/>
              </w:rPr>
              <w:t xml:space="preserve"> SSB position in a slot in the gap between 1</w:t>
            </w:r>
            <w:r w:rsidRPr="002C3037">
              <w:rPr>
                <w:rFonts w:ascii="Times New Roman" w:hAnsi="Times New Roman"/>
                <w:vertAlign w:val="superscript"/>
                <w:lang w:eastAsia="x-none"/>
              </w:rPr>
              <w:t>st</w:t>
            </w:r>
            <w:r w:rsidRPr="002C3037">
              <w:rPr>
                <w:rFonts w:ascii="Times New Roman" w:hAnsi="Times New Roman"/>
                <w:lang w:eastAsia="x-none"/>
              </w:rPr>
              <w:t xml:space="preserve"> and 2</w:t>
            </w:r>
            <w:r w:rsidRPr="002C3037">
              <w:rPr>
                <w:rFonts w:ascii="Times New Roman" w:hAnsi="Times New Roman"/>
                <w:vertAlign w:val="superscript"/>
                <w:lang w:eastAsia="x-none"/>
              </w:rPr>
              <w:t>nd</w:t>
            </w:r>
            <w:r w:rsidRPr="002C3037">
              <w:rPr>
                <w:rFonts w:ascii="Times New Roman" w:hAnsi="Times New Roman"/>
                <w:lang w:eastAsia="x-none"/>
              </w:rPr>
              <w:t xml:space="preserve"> SSB within the slot</w:t>
            </w:r>
          </w:p>
          <w:p w:rsidR="005A148C" w:rsidRPr="002C3037" w:rsidRDefault="005A148C" w:rsidP="005A148C">
            <w:pPr>
              <w:numPr>
                <w:ilvl w:val="1"/>
                <w:numId w:val="37"/>
              </w:numPr>
              <w:overflowPunct/>
              <w:autoSpaceDE/>
              <w:autoSpaceDN/>
              <w:adjustRightInd/>
              <w:spacing w:after="0"/>
              <w:textAlignment w:val="auto"/>
              <w:rPr>
                <w:rFonts w:ascii="Times New Roman" w:hAnsi="Times New Roman"/>
                <w:lang w:eastAsia="x-none"/>
              </w:rPr>
            </w:pPr>
            <w:r w:rsidRPr="002C3037">
              <w:rPr>
                <w:rFonts w:ascii="Times New Roman" w:hAnsi="Times New Roman"/>
                <w:lang w:eastAsia="x-none"/>
              </w:rPr>
              <w:t>FFS start at symbol #6 of #7 or both</w:t>
            </w:r>
          </w:p>
          <w:p w:rsidR="005A148C" w:rsidRPr="002C3037" w:rsidRDefault="005A148C" w:rsidP="005A148C">
            <w:pPr>
              <w:numPr>
                <w:ilvl w:val="0"/>
                <w:numId w:val="37"/>
              </w:numPr>
              <w:overflowPunct/>
              <w:autoSpaceDE/>
              <w:autoSpaceDN/>
              <w:adjustRightInd/>
              <w:spacing w:after="0"/>
              <w:textAlignment w:val="auto"/>
              <w:rPr>
                <w:rFonts w:ascii="Times New Roman" w:hAnsi="Times New Roman"/>
                <w:lang w:eastAsia="x-none"/>
              </w:rPr>
            </w:pPr>
            <w:r w:rsidRPr="002C3037">
              <w:rPr>
                <w:rFonts w:ascii="Times New Roman" w:hAnsi="Times New Roman"/>
                <w:lang w:eastAsia="x-none"/>
              </w:rPr>
              <w:t>FFS: The Type0-PDCCH candidates associated with an SSB are confined within a slot carrying the associated SSB (with the same QCL assumptions)</w:t>
            </w:r>
          </w:p>
        </w:tc>
      </w:tr>
    </w:tbl>
    <w:p w:rsidR="005A148C" w:rsidRDefault="005A148C" w:rsidP="005A148C">
      <w:pPr>
        <w:rPr>
          <w:lang w:val="en-GB" w:eastAsia="zh-CN"/>
        </w:rPr>
      </w:pPr>
    </w:p>
    <w:tbl>
      <w:tblPr>
        <w:tblStyle w:val="TableGrid"/>
        <w:tblW w:w="0" w:type="auto"/>
        <w:tblLook w:val="04A0" w:firstRow="1" w:lastRow="0" w:firstColumn="1" w:lastColumn="0" w:noHBand="0" w:noVBand="1"/>
      </w:tblPr>
      <w:tblGrid>
        <w:gridCol w:w="9631"/>
      </w:tblGrid>
      <w:tr w:rsidR="005A148C" w:rsidRPr="002C3037" w:rsidTr="000E3F2F">
        <w:trPr>
          <w:trHeight w:val="1237"/>
        </w:trPr>
        <w:tc>
          <w:tcPr>
            <w:tcW w:w="9631" w:type="dxa"/>
          </w:tcPr>
          <w:p w:rsidR="005A148C" w:rsidRPr="002C3037" w:rsidRDefault="005A148C" w:rsidP="000E3F2F">
            <w:pPr>
              <w:rPr>
                <w:rFonts w:ascii="Times New Roman" w:hAnsi="Times New Roman"/>
                <w:lang w:eastAsia="x-none"/>
              </w:rPr>
            </w:pPr>
            <w:r w:rsidRPr="002C3037">
              <w:rPr>
                <w:rFonts w:ascii="Times New Roman" w:hAnsi="Times New Roman"/>
                <w:highlight w:val="green"/>
                <w:lang w:eastAsia="x-none"/>
              </w:rPr>
              <w:t>Agreement:</w:t>
            </w:r>
            <w:r w:rsidRPr="002C3037">
              <w:rPr>
                <w:rFonts w:ascii="Times New Roman" w:hAnsi="Times New Roman"/>
                <w:lang w:eastAsia="x-none"/>
              </w:rPr>
              <w:t xml:space="preserve"> (RAN1 #96)</w:t>
            </w:r>
          </w:p>
          <w:p w:rsidR="005A148C" w:rsidRPr="002C3037" w:rsidRDefault="005A148C" w:rsidP="005A148C">
            <w:pPr>
              <w:numPr>
                <w:ilvl w:val="0"/>
                <w:numId w:val="37"/>
              </w:numPr>
              <w:overflowPunct/>
              <w:autoSpaceDE/>
              <w:autoSpaceDN/>
              <w:adjustRightInd/>
              <w:spacing w:after="0"/>
              <w:textAlignment w:val="auto"/>
              <w:rPr>
                <w:rFonts w:ascii="Times New Roman" w:hAnsi="Times New Roman"/>
                <w:lang w:eastAsia="x-none"/>
              </w:rPr>
            </w:pPr>
            <w:r w:rsidRPr="002C3037">
              <w:rPr>
                <w:rFonts w:ascii="Times New Roman" w:hAnsi="Times New Roman"/>
                <w:lang w:eastAsia="x-none"/>
              </w:rPr>
              <w:t>The SCS for all SSBs and Coreset #0 on a carrier is always the same for operation of NR in unlicensed spectrum.</w:t>
            </w:r>
          </w:p>
          <w:p w:rsidR="005A148C" w:rsidRPr="002C3037" w:rsidRDefault="005A148C" w:rsidP="005A148C">
            <w:pPr>
              <w:numPr>
                <w:ilvl w:val="0"/>
                <w:numId w:val="37"/>
              </w:numPr>
              <w:overflowPunct/>
              <w:autoSpaceDE/>
              <w:autoSpaceDN/>
              <w:adjustRightInd/>
              <w:spacing w:after="0"/>
              <w:textAlignment w:val="auto"/>
              <w:rPr>
                <w:rFonts w:ascii="Times New Roman" w:hAnsi="Times New Roman"/>
                <w:lang w:eastAsia="x-none"/>
              </w:rPr>
            </w:pPr>
            <w:r w:rsidRPr="002C3037">
              <w:rPr>
                <w:rFonts w:ascii="Times New Roman" w:hAnsi="Times New Roman"/>
                <w:lang w:eastAsia="x-none"/>
              </w:rPr>
              <w:t>CORESET #0 frequency domain resource configuration should be 48 RBs for 30KHz SCS and 96 RBs for 15KHz SCS.</w:t>
            </w:r>
          </w:p>
        </w:tc>
      </w:tr>
    </w:tbl>
    <w:p w:rsidR="005A148C" w:rsidRPr="002819E0" w:rsidRDefault="005A148C" w:rsidP="005A148C">
      <w:pPr>
        <w:rPr>
          <w:lang w:val="en-GB" w:eastAsia="zh-CN"/>
        </w:rPr>
      </w:pPr>
    </w:p>
    <w:tbl>
      <w:tblPr>
        <w:tblStyle w:val="TableGrid"/>
        <w:tblW w:w="0" w:type="auto"/>
        <w:tblLook w:val="04A0" w:firstRow="1" w:lastRow="0" w:firstColumn="1" w:lastColumn="0" w:noHBand="0" w:noVBand="1"/>
      </w:tblPr>
      <w:tblGrid>
        <w:gridCol w:w="9631"/>
      </w:tblGrid>
      <w:tr w:rsidR="005A148C" w:rsidRPr="002C3037" w:rsidTr="000E3F2F">
        <w:tc>
          <w:tcPr>
            <w:tcW w:w="9631" w:type="dxa"/>
          </w:tcPr>
          <w:p w:rsidR="005A148C" w:rsidRPr="002C3037" w:rsidRDefault="005A148C" w:rsidP="000E3F2F">
            <w:pPr>
              <w:rPr>
                <w:rFonts w:ascii="Times New Roman" w:hAnsi="Times New Roman"/>
                <w:lang w:eastAsia="x-none"/>
              </w:rPr>
            </w:pPr>
            <w:r w:rsidRPr="002C3037">
              <w:rPr>
                <w:rFonts w:ascii="Times New Roman" w:hAnsi="Times New Roman"/>
                <w:highlight w:val="green"/>
                <w:lang w:eastAsia="x-none"/>
              </w:rPr>
              <w:t>Agreement:</w:t>
            </w:r>
          </w:p>
          <w:p w:rsidR="005A148C" w:rsidRPr="002C3037" w:rsidRDefault="005A148C" w:rsidP="000E3F2F">
            <w:pPr>
              <w:rPr>
                <w:rFonts w:ascii="Times New Roman" w:hAnsi="Times New Roman"/>
                <w:lang w:eastAsia="x-none"/>
              </w:rPr>
            </w:pPr>
            <w:r w:rsidRPr="002C3037">
              <w:rPr>
                <w:rFonts w:ascii="Times New Roman" w:hAnsi="Times New Roman"/>
                <w:lang w:eastAsia="x-none"/>
              </w:rPr>
              <w:t>Only Coreset #0 lengths of 1 and 2 symbols are supported for NR-U</w:t>
            </w:r>
          </w:p>
        </w:tc>
      </w:tr>
    </w:tbl>
    <w:p w:rsidR="005A148C" w:rsidRDefault="005A148C" w:rsidP="005A148C">
      <w:pPr>
        <w:pStyle w:val="Caption"/>
        <w:rPr>
          <w:b w:val="0"/>
        </w:rPr>
      </w:pPr>
      <w:r>
        <w:rPr>
          <w:b w:val="0"/>
        </w:rPr>
        <w:t xml:space="preserve">In NR R15, CORESET and search space configurations for Type0-PDCCH can be configurable and indicated by PBCH. In NR-U, we think a similar mechanism should be supported for Type0-PDCCH configuration. </w:t>
      </w:r>
    </w:p>
    <w:p w:rsidR="005A148C" w:rsidRPr="00D64D7E" w:rsidRDefault="005A148C" w:rsidP="005A148C">
      <w:pPr>
        <w:pStyle w:val="Caption"/>
      </w:pPr>
      <w:bookmarkStart w:id="3" w:name="_Ref4680467"/>
      <w:bookmarkStart w:id="4" w:name="_Ref7697542"/>
      <w:r>
        <w:t xml:space="preserve">Proposal </w:t>
      </w:r>
      <w:r>
        <w:fldChar w:fldCharType="begin"/>
      </w:r>
      <w:r>
        <w:instrText xml:space="preserve"> SEQ Proposal \* ARABIC </w:instrText>
      </w:r>
      <w:r>
        <w:fldChar w:fldCharType="separate"/>
      </w:r>
      <w:r w:rsidR="006D5732">
        <w:rPr>
          <w:noProof/>
        </w:rPr>
        <w:t>2</w:t>
      </w:r>
      <w:r>
        <w:fldChar w:fldCharType="end"/>
      </w:r>
      <w:r>
        <w:t>: Similar to NR, NR-U supports that both CORESET and search space configurations for Type-0 PDCCH to be carried by PBCH</w:t>
      </w:r>
      <w:bookmarkEnd w:id="3"/>
      <w:r>
        <w:t>.</w:t>
      </w:r>
      <w:bookmarkEnd w:id="4"/>
    </w:p>
    <w:p w:rsidR="005A148C" w:rsidRPr="002E21A3" w:rsidRDefault="005A148C" w:rsidP="005A148C">
      <w:pPr>
        <w:pStyle w:val="Caption"/>
        <w:rPr>
          <w:b w:val="0"/>
        </w:rPr>
      </w:pPr>
      <w:r>
        <w:rPr>
          <w:b w:val="0"/>
        </w:rPr>
        <w:t xml:space="preserve">The CORESET configuration for Type0-PDCCH is closely dependent on the placement of sync raster in a channel which is under discussion in RAN4. However, if RAN4 decides only one sync raster is needed in a 20MHz channel, we have the following proposal. </w:t>
      </w:r>
    </w:p>
    <w:p w:rsidR="005A148C" w:rsidRDefault="005A148C" w:rsidP="005A148C">
      <w:pPr>
        <w:pStyle w:val="Caption"/>
      </w:pPr>
      <w:bookmarkStart w:id="5" w:name="_Ref16919274"/>
      <w:r>
        <w:t xml:space="preserve">Proposal </w:t>
      </w:r>
      <w:r>
        <w:fldChar w:fldCharType="begin"/>
      </w:r>
      <w:r>
        <w:instrText xml:space="preserve"> SEQ Proposal \* ARABIC </w:instrText>
      </w:r>
      <w:r>
        <w:fldChar w:fldCharType="separate"/>
      </w:r>
      <w:r w:rsidR="006D5732">
        <w:rPr>
          <w:noProof/>
        </w:rPr>
        <w:t>3</w:t>
      </w:r>
      <w:r>
        <w:rPr>
          <w:noProof/>
        </w:rPr>
        <w:fldChar w:fldCharType="end"/>
      </w:r>
      <w:r>
        <w:t xml:space="preserve">: </w:t>
      </w:r>
      <w:r w:rsidRPr="0018214F">
        <w:rPr>
          <w:color w:val="000000" w:themeColor="text1"/>
        </w:rPr>
        <w:t>For Type0-PDCCH CORESET configuration, down-select one of the following values for the offset between CORESET#0 and SSB by considering RAN4’s decision on sync raster.</w:t>
      </w:r>
      <w:bookmarkEnd w:id="5"/>
      <w:r w:rsidRPr="0018214F">
        <w:rPr>
          <w:color w:val="000000" w:themeColor="text1"/>
        </w:rPr>
        <w:t xml:space="preserve"> </w:t>
      </w:r>
    </w:p>
    <w:p w:rsidR="005A148C" w:rsidRPr="00CD6AAD" w:rsidRDefault="005A148C" w:rsidP="005A148C">
      <w:pPr>
        <w:pStyle w:val="ListParagraph"/>
        <w:numPr>
          <w:ilvl w:val="0"/>
          <w:numId w:val="41"/>
        </w:numPr>
        <w:ind w:firstLineChars="0"/>
        <w:rPr>
          <w:b/>
          <w:sz w:val="20"/>
          <w:szCs w:val="20"/>
        </w:rPr>
      </w:pPr>
      <w:r w:rsidRPr="00CD6AAD">
        <w:rPr>
          <w:b/>
          <w:sz w:val="20"/>
          <w:szCs w:val="20"/>
        </w:rPr>
        <w:t>For SCS=15kHz, {38, 0, 76} PRBs</w:t>
      </w:r>
    </w:p>
    <w:p w:rsidR="005A148C" w:rsidRPr="005A148C" w:rsidRDefault="005A148C" w:rsidP="005A148C">
      <w:pPr>
        <w:pStyle w:val="ListParagraph"/>
        <w:numPr>
          <w:ilvl w:val="0"/>
          <w:numId w:val="41"/>
        </w:numPr>
        <w:ind w:firstLineChars="0"/>
        <w:rPr>
          <w:b/>
          <w:sz w:val="20"/>
          <w:szCs w:val="20"/>
        </w:rPr>
      </w:pPr>
      <w:r w:rsidRPr="00CD6AAD">
        <w:rPr>
          <w:b/>
          <w:sz w:val="20"/>
          <w:szCs w:val="20"/>
        </w:rPr>
        <w:t>For SCS=30kHz, {14, 0, 28} PRBs</w:t>
      </w:r>
    </w:p>
    <w:p w:rsidR="00E07ECA" w:rsidRDefault="00E07ECA" w:rsidP="001618DF">
      <w:pPr>
        <w:pStyle w:val="Caption"/>
      </w:pPr>
    </w:p>
    <w:p w:rsidR="005A148C" w:rsidRDefault="005A148C" w:rsidP="005A148C">
      <w:r>
        <w:t xml:space="preserve">As to the search space configuration for Type0-PDCCH, we propose to use the parameter values in </w:t>
      </w:r>
      <w:r>
        <w:fldChar w:fldCharType="begin"/>
      </w:r>
      <w:r>
        <w:instrText xml:space="preserve"> REF _Ref16883488 \h </w:instrText>
      </w:r>
      <w:r>
        <w:fldChar w:fldCharType="separate"/>
      </w:r>
      <w:r w:rsidR="006D5732">
        <w:t xml:space="preserve">Table </w:t>
      </w:r>
      <w:r w:rsidR="006D5732">
        <w:rPr>
          <w:noProof/>
        </w:rPr>
        <w:t>1</w:t>
      </w:r>
      <w:r>
        <w:fldChar w:fldCharType="end"/>
      </w:r>
      <w:r>
        <w:t xml:space="preserve"> for NR-U.</w:t>
      </w:r>
      <w:bookmarkStart w:id="6" w:name="_Ref16659910"/>
    </w:p>
    <w:p w:rsidR="005A148C" w:rsidRDefault="005A148C" w:rsidP="005A148C">
      <w:pPr>
        <w:pStyle w:val="Caption"/>
      </w:pPr>
      <w:bookmarkStart w:id="7" w:name="_Ref16919280"/>
      <w:r>
        <w:t xml:space="preserve">Proposal </w:t>
      </w:r>
      <w:r>
        <w:fldChar w:fldCharType="begin"/>
      </w:r>
      <w:r>
        <w:instrText xml:space="preserve"> SEQ Proposal \* ARABIC </w:instrText>
      </w:r>
      <w:r>
        <w:fldChar w:fldCharType="separate"/>
      </w:r>
      <w:r w:rsidR="006D5732">
        <w:rPr>
          <w:noProof/>
        </w:rPr>
        <w:t>4</w:t>
      </w:r>
      <w:r>
        <w:rPr>
          <w:noProof/>
        </w:rPr>
        <w:fldChar w:fldCharType="end"/>
      </w:r>
      <w:bookmarkEnd w:id="6"/>
      <w:r>
        <w:t xml:space="preserve">: Support </w:t>
      </w:r>
      <w:r>
        <w:fldChar w:fldCharType="begin"/>
      </w:r>
      <w:r>
        <w:instrText xml:space="preserve"> REF _Ref16883488 \h </w:instrText>
      </w:r>
      <w:r>
        <w:fldChar w:fldCharType="separate"/>
      </w:r>
      <w:r w:rsidR="006D5732">
        <w:t xml:space="preserve">Table </w:t>
      </w:r>
      <w:r w:rsidR="006D5732">
        <w:rPr>
          <w:noProof/>
        </w:rPr>
        <w:t>1</w:t>
      </w:r>
      <w:r>
        <w:fldChar w:fldCharType="end"/>
      </w:r>
      <w:r>
        <w:t xml:space="preserve"> for search configuration for NR-U in FR1.</w:t>
      </w:r>
      <w:bookmarkEnd w:id="7"/>
      <w:r>
        <w:t xml:space="preserve"> </w:t>
      </w:r>
    </w:p>
    <w:p w:rsidR="005A148C" w:rsidRPr="00632AAB" w:rsidRDefault="005A148C" w:rsidP="005A148C">
      <w:pPr>
        <w:pStyle w:val="Caption"/>
      </w:pPr>
      <w:bookmarkStart w:id="8" w:name="_Ref16883488"/>
      <w:r>
        <w:t xml:space="preserve">Table </w:t>
      </w:r>
      <w:r>
        <w:fldChar w:fldCharType="begin"/>
      </w:r>
      <w:r>
        <w:instrText xml:space="preserve"> SEQ Table \* ARABIC </w:instrText>
      </w:r>
      <w:r>
        <w:fldChar w:fldCharType="separate"/>
      </w:r>
      <w:r w:rsidR="006D5732">
        <w:rPr>
          <w:noProof/>
        </w:rPr>
        <w:t>1</w:t>
      </w:r>
      <w:r>
        <w:rPr>
          <w:noProof/>
        </w:rPr>
        <w:fldChar w:fldCharType="end"/>
      </w:r>
      <w:bookmarkEnd w:id="8"/>
      <w:r>
        <w:t xml:space="preserve">: </w:t>
      </w:r>
      <w:r w:rsidRPr="00B916EC">
        <w:t xml:space="preserve">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987"/>
        <w:gridCol w:w="3319"/>
        <w:gridCol w:w="903"/>
        <w:gridCol w:w="3419"/>
      </w:tblGrid>
      <w:tr w:rsidR="005A148C" w:rsidRPr="00B916EC" w:rsidTr="000E3F2F">
        <w:trPr>
          <w:cantSplit/>
        </w:trPr>
        <w:tc>
          <w:tcPr>
            <w:tcW w:w="805" w:type="dxa"/>
            <w:tcBorders>
              <w:bottom w:val="double" w:sz="4" w:space="0" w:color="auto"/>
              <w:right w:val="double" w:sz="4" w:space="0" w:color="auto"/>
            </w:tcBorders>
            <w:shd w:val="clear" w:color="auto" w:fill="E0E0E0"/>
            <w:vAlign w:val="center"/>
          </w:tcPr>
          <w:p w:rsidR="005A148C" w:rsidRPr="00B916EC" w:rsidRDefault="005A148C" w:rsidP="000E3F2F">
            <w:pPr>
              <w:pStyle w:val="TAH"/>
              <w:rPr>
                <w:bCs/>
                <w:lang w:val="en-US"/>
              </w:rPr>
            </w:pPr>
            <w:r w:rsidRPr="00B916EC">
              <w:rPr>
                <w:bCs/>
                <w:lang w:val="en-US"/>
              </w:rPr>
              <w:lastRenderedPageBreak/>
              <w:t>Index</w:t>
            </w:r>
          </w:p>
        </w:tc>
        <w:tc>
          <w:tcPr>
            <w:tcW w:w="987" w:type="dxa"/>
            <w:tcBorders>
              <w:left w:val="double" w:sz="4" w:space="0" w:color="auto"/>
              <w:bottom w:val="double" w:sz="4" w:space="0" w:color="auto"/>
            </w:tcBorders>
            <w:shd w:val="clear" w:color="auto" w:fill="E0E0E0"/>
            <w:vAlign w:val="center"/>
          </w:tcPr>
          <w:p w:rsidR="005A148C" w:rsidRPr="00B916EC" w:rsidRDefault="005A148C" w:rsidP="000E3F2F">
            <w:pPr>
              <w:pStyle w:val="TAH"/>
              <w:rPr>
                <w:bCs/>
                <w:lang w:val="en-US"/>
              </w:rPr>
            </w:pPr>
            <w:r w:rsidRPr="00B916EC">
              <w:rPr>
                <w:position w:val="-6"/>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11" o:title=""/>
                </v:shape>
                <o:OLEObject Type="Embed" ProgID="Equation.3" ShapeID="_x0000_i1025" DrawAspect="Content" ObjectID="_1627544249" r:id="rId12"/>
              </w:object>
            </w:r>
          </w:p>
        </w:tc>
        <w:tc>
          <w:tcPr>
            <w:tcW w:w="3319" w:type="dxa"/>
            <w:tcBorders>
              <w:bottom w:val="double" w:sz="4" w:space="0" w:color="auto"/>
            </w:tcBorders>
            <w:shd w:val="clear" w:color="auto" w:fill="E0E0E0"/>
            <w:vAlign w:val="center"/>
          </w:tcPr>
          <w:p w:rsidR="005A148C" w:rsidRPr="004C050E" w:rsidRDefault="005A148C" w:rsidP="000E3F2F">
            <w:pPr>
              <w:pStyle w:val="TAH"/>
              <w:rPr>
                <w:bCs/>
                <w:lang w:val="en-US"/>
              </w:rPr>
            </w:pPr>
            <w:r w:rsidRPr="004C050E">
              <w:rPr>
                <w:rStyle w:val="CommentReference"/>
                <w:rFonts w:cs="Arial"/>
                <w:szCs w:val="18"/>
              </w:rPr>
              <w:t>Number of search space sets per slot</w:t>
            </w:r>
          </w:p>
        </w:tc>
        <w:tc>
          <w:tcPr>
            <w:tcW w:w="903" w:type="dxa"/>
            <w:tcBorders>
              <w:bottom w:val="double" w:sz="4" w:space="0" w:color="auto"/>
            </w:tcBorders>
            <w:shd w:val="clear" w:color="auto" w:fill="E0E0E0"/>
            <w:vAlign w:val="center"/>
          </w:tcPr>
          <w:p w:rsidR="005A148C" w:rsidRPr="004C050E" w:rsidRDefault="005A148C" w:rsidP="000E3F2F">
            <w:pPr>
              <w:pStyle w:val="TAH"/>
              <w:rPr>
                <w:bCs/>
                <w:lang w:val="en-US"/>
              </w:rPr>
            </w:pPr>
            <w:r w:rsidRPr="004C050E">
              <w:rPr>
                <w:position w:val="-4"/>
              </w:rPr>
              <w:object w:dxaOrig="279" w:dyaOrig="220">
                <v:shape id="_x0000_i1026" type="#_x0000_t75" style="width:14.15pt;height:12.5pt" o:ole="">
                  <v:imagedata r:id="rId13" o:title=""/>
                </v:shape>
                <o:OLEObject Type="Embed" ProgID="Equation.3" ShapeID="_x0000_i1026" DrawAspect="Content" ObjectID="_1627544250" r:id="rId14"/>
              </w:object>
            </w:r>
          </w:p>
        </w:tc>
        <w:tc>
          <w:tcPr>
            <w:tcW w:w="3419" w:type="dxa"/>
            <w:tcBorders>
              <w:bottom w:val="double" w:sz="4" w:space="0" w:color="auto"/>
            </w:tcBorders>
            <w:shd w:val="clear" w:color="auto" w:fill="E0E0E0"/>
            <w:vAlign w:val="center"/>
          </w:tcPr>
          <w:p w:rsidR="005A148C" w:rsidRPr="00B916EC" w:rsidRDefault="005A148C" w:rsidP="000E3F2F">
            <w:pPr>
              <w:spacing w:after="0"/>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5A148C" w:rsidRPr="00B916EC" w:rsidTr="000E3F2F">
        <w:trPr>
          <w:cantSplit/>
        </w:trPr>
        <w:tc>
          <w:tcPr>
            <w:tcW w:w="805" w:type="dxa"/>
            <w:tcBorders>
              <w:top w:val="double" w:sz="4" w:space="0" w:color="auto"/>
              <w:right w:val="double" w:sz="4" w:space="0" w:color="auto"/>
            </w:tcBorders>
            <w:shd w:val="clear" w:color="auto" w:fill="auto"/>
            <w:vAlign w:val="center"/>
          </w:tcPr>
          <w:p w:rsidR="005A148C" w:rsidRPr="00B916EC" w:rsidRDefault="005A148C" w:rsidP="000E3F2F">
            <w:pPr>
              <w:pStyle w:val="TAC"/>
              <w:rPr>
                <w:lang w:val="en-US"/>
              </w:rPr>
            </w:pPr>
            <w:r w:rsidRPr="00B916EC">
              <w:rPr>
                <w:lang w:val="en-US"/>
              </w:rPr>
              <w:t>0</w:t>
            </w:r>
          </w:p>
        </w:tc>
        <w:tc>
          <w:tcPr>
            <w:tcW w:w="987" w:type="dxa"/>
            <w:tcBorders>
              <w:top w:val="double" w:sz="4" w:space="0" w:color="auto"/>
              <w:left w:val="double" w:sz="4" w:space="0" w:color="auto"/>
            </w:tcBorders>
            <w:vAlign w:val="center"/>
          </w:tcPr>
          <w:p w:rsidR="005A148C" w:rsidRPr="00B916EC" w:rsidRDefault="005A148C" w:rsidP="000E3F2F">
            <w:pPr>
              <w:pStyle w:val="TAC"/>
              <w:rPr>
                <w:lang w:val="en-US"/>
              </w:rPr>
            </w:pPr>
            <w:r w:rsidRPr="00B916EC">
              <w:rPr>
                <w:rStyle w:val="CommentReference"/>
                <w:rFonts w:cs="Arial"/>
                <w:szCs w:val="18"/>
              </w:rPr>
              <w:t>0</w:t>
            </w:r>
          </w:p>
        </w:tc>
        <w:tc>
          <w:tcPr>
            <w:tcW w:w="3319" w:type="dxa"/>
            <w:tcBorders>
              <w:top w:val="double" w:sz="4" w:space="0" w:color="auto"/>
            </w:tcBorders>
            <w:vAlign w:val="center"/>
          </w:tcPr>
          <w:p w:rsidR="005A148C" w:rsidRPr="00B916EC" w:rsidRDefault="005A148C" w:rsidP="000E3F2F">
            <w:pPr>
              <w:pStyle w:val="TAC"/>
              <w:rPr>
                <w:lang w:val="en-US"/>
              </w:rPr>
            </w:pPr>
            <w:r w:rsidRPr="00B916EC">
              <w:rPr>
                <w:rStyle w:val="CommentReference"/>
                <w:rFonts w:cs="Arial"/>
                <w:szCs w:val="18"/>
              </w:rPr>
              <w:t>1</w:t>
            </w:r>
          </w:p>
        </w:tc>
        <w:tc>
          <w:tcPr>
            <w:tcW w:w="903" w:type="dxa"/>
            <w:tcBorders>
              <w:top w:val="double" w:sz="4" w:space="0" w:color="auto"/>
            </w:tcBorders>
            <w:vAlign w:val="center"/>
          </w:tcPr>
          <w:p w:rsidR="005A148C" w:rsidRPr="00B916EC" w:rsidRDefault="005A148C" w:rsidP="000E3F2F">
            <w:pPr>
              <w:pStyle w:val="TAC"/>
              <w:rPr>
                <w:lang w:val="en-US"/>
              </w:rPr>
            </w:pPr>
            <w:r w:rsidRPr="00B916EC">
              <w:rPr>
                <w:rStyle w:val="CommentReference"/>
                <w:rFonts w:cs="Arial"/>
                <w:szCs w:val="18"/>
              </w:rPr>
              <w:t>1</w:t>
            </w:r>
          </w:p>
        </w:tc>
        <w:tc>
          <w:tcPr>
            <w:tcW w:w="3419" w:type="dxa"/>
            <w:tcBorders>
              <w:top w:val="double" w:sz="4" w:space="0" w:color="auto"/>
            </w:tcBorders>
            <w:vAlign w:val="center"/>
          </w:tcPr>
          <w:p w:rsidR="005A148C" w:rsidRPr="00B916EC" w:rsidRDefault="005A148C" w:rsidP="000E3F2F">
            <w:pPr>
              <w:pStyle w:val="TAC"/>
              <w:rPr>
                <w:lang w:val="en-US"/>
              </w:rPr>
            </w:pPr>
            <w:r w:rsidRPr="00B916EC">
              <w:rPr>
                <w:rStyle w:val="CommentReference"/>
                <w:rFonts w:cs="Arial"/>
                <w:szCs w:val="18"/>
              </w:rPr>
              <w:t>0</w:t>
            </w:r>
          </w:p>
        </w:tc>
      </w:tr>
      <w:tr w:rsidR="005A148C" w:rsidRPr="00B916EC" w:rsidTr="000E3F2F">
        <w:trPr>
          <w:cantSplit/>
        </w:trPr>
        <w:tc>
          <w:tcPr>
            <w:tcW w:w="805" w:type="dxa"/>
            <w:tcBorders>
              <w:right w:val="double" w:sz="4" w:space="0" w:color="auto"/>
            </w:tcBorders>
            <w:shd w:val="clear" w:color="auto" w:fill="auto"/>
            <w:vAlign w:val="center"/>
          </w:tcPr>
          <w:p w:rsidR="005A148C" w:rsidRPr="00B916EC" w:rsidRDefault="005A148C" w:rsidP="000E3F2F">
            <w:pPr>
              <w:pStyle w:val="TAC"/>
              <w:rPr>
                <w:lang w:val="en-US"/>
              </w:rPr>
            </w:pPr>
            <w:r w:rsidRPr="00B916EC">
              <w:rPr>
                <w:lang w:val="en-US"/>
              </w:rPr>
              <w:t>1</w:t>
            </w:r>
          </w:p>
        </w:tc>
        <w:tc>
          <w:tcPr>
            <w:tcW w:w="987" w:type="dxa"/>
            <w:tcBorders>
              <w:left w:val="double" w:sz="4" w:space="0" w:color="auto"/>
            </w:tcBorders>
            <w:vAlign w:val="center"/>
          </w:tcPr>
          <w:p w:rsidR="005A148C" w:rsidRPr="00B916EC" w:rsidRDefault="005A148C" w:rsidP="000E3F2F">
            <w:pPr>
              <w:pStyle w:val="TAC"/>
              <w:rPr>
                <w:lang w:val="en-US"/>
              </w:rPr>
            </w:pPr>
            <w:r w:rsidRPr="00B916EC">
              <w:rPr>
                <w:rStyle w:val="CommentReference"/>
                <w:rFonts w:cs="Arial"/>
                <w:szCs w:val="18"/>
              </w:rPr>
              <w:t>0</w:t>
            </w:r>
          </w:p>
        </w:tc>
        <w:tc>
          <w:tcPr>
            <w:tcW w:w="3319" w:type="dxa"/>
            <w:vAlign w:val="center"/>
          </w:tcPr>
          <w:p w:rsidR="005A148C" w:rsidRPr="00B916EC" w:rsidRDefault="005A148C" w:rsidP="000E3F2F">
            <w:pPr>
              <w:pStyle w:val="TAC"/>
              <w:rPr>
                <w:lang w:val="en-US"/>
              </w:rPr>
            </w:pPr>
            <w:r w:rsidRPr="00B916EC">
              <w:rPr>
                <w:rStyle w:val="CommentReference"/>
                <w:rFonts w:cs="Arial"/>
                <w:szCs w:val="18"/>
              </w:rPr>
              <w:t>2</w:t>
            </w:r>
          </w:p>
        </w:tc>
        <w:tc>
          <w:tcPr>
            <w:tcW w:w="903" w:type="dxa"/>
            <w:vAlign w:val="center"/>
          </w:tcPr>
          <w:p w:rsidR="005A148C" w:rsidRPr="00B916EC" w:rsidRDefault="005A148C" w:rsidP="000E3F2F">
            <w:pPr>
              <w:pStyle w:val="TAC"/>
              <w:rPr>
                <w:lang w:val="en-US"/>
              </w:rPr>
            </w:pPr>
            <w:r w:rsidRPr="00B916EC">
              <w:rPr>
                <w:rStyle w:val="CommentReference"/>
                <w:rFonts w:cs="Arial"/>
                <w:szCs w:val="18"/>
              </w:rPr>
              <w:t>1</w:t>
            </w:r>
            <w:r>
              <w:rPr>
                <w:rStyle w:val="CommentReference"/>
                <w:rFonts w:cs="Arial"/>
                <w:szCs w:val="18"/>
              </w:rPr>
              <w:t>/2</w:t>
            </w:r>
          </w:p>
        </w:tc>
        <w:tc>
          <w:tcPr>
            <w:tcW w:w="3419" w:type="dxa"/>
            <w:vAlign w:val="center"/>
          </w:tcPr>
          <w:p w:rsidR="005A148C" w:rsidRPr="00B916EC" w:rsidRDefault="005A148C" w:rsidP="000E3F2F">
            <w:pPr>
              <w:pStyle w:val="TAC"/>
              <w:rPr>
                <w:lang w:val="en-US"/>
              </w:rPr>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v:shape id="_x0000_i1027" type="#_x0000_t75" style="width:7.5pt;height:14.15pt" o:ole="">
                  <v:imagedata r:id="rId15" o:title=""/>
                </v:shape>
                <o:OLEObject Type="Embed" ProgID="Equation.3" ShapeID="_x0000_i1027" DrawAspect="Content" ObjectID="_1627544251" r:id="rId16"/>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v:shape id="_x0000_i1028" type="#_x0000_t75" style="width:7.5pt;height:14.15pt" o:ole="">
                  <v:imagedata r:id="rId17" o:title=""/>
                </v:shape>
                <o:OLEObject Type="Embed" ProgID="Equation.3" ShapeID="_x0000_i1028" DrawAspect="Content" ObjectID="_1627544252" r:id="rId18"/>
              </w:object>
            </w:r>
            <w:r>
              <w:t xml:space="preserve"> is odd</w:t>
            </w:r>
            <w:r w:rsidRPr="00B916EC">
              <w:rPr>
                <w:rStyle w:val="CommentReference"/>
                <w:rFonts w:cs="Arial"/>
                <w:szCs w:val="18"/>
              </w:rPr>
              <w:t>}</w:t>
            </w:r>
          </w:p>
        </w:tc>
      </w:tr>
      <w:tr w:rsidR="005A148C" w:rsidRPr="00B916EC" w:rsidTr="000E3F2F">
        <w:trPr>
          <w:cantSplit/>
        </w:trPr>
        <w:tc>
          <w:tcPr>
            <w:tcW w:w="805" w:type="dxa"/>
            <w:tcBorders>
              <w:right w:val="double" w:sz="4" w:space="0" w:color="auto"/>
            </w:tcBorders>
            <w:shd w:val="clear" w:color="auto" w:fill="auto"/>
            <w:vAlign w:val="center"/>
          </w:tcPr>
          <w:p w:rsidR="005A148C" w:rsidRPr="00B916EC" w:rsidRDefault="005A148C" w:rsidP="000E3F2F">
            <w:pPr>
              <w:pStyle w:val="TAC"/>
            </w:pPr>
            <w:r>
              <w:t>2</w:t>
            </w:r>
          </w:p>
        </w:tc>
        <w:tc>
          <w:tcPr>
            <w:tcW w:w="987" w:type="dxa"/>
            <w:tcBorders>
              <w:left w:val="double" w:sz="4" w:space="0" w:color="auto"/>
            </w:tcBorders>
            <w:vAlign w:val="center"/>
          </w:tcPr>
          <w:p w:rsidR="005A148C" w:rsidRPr="00B916EC" w:rsidRDefault="005A148C" w:rsidP="000E3F2F">
            <w:pPr>
              <w:pStyle w:val="TAC"/>
            </w:pPr>
            <w:r w:rsidRPr="00B916EC">
              <w:rPr>
                <w:rStyle w:val="CommentReference"/>
                <w:rFonts w:cs="Arial"/>
                <w:szCs w:val="18"/>
              </w:rPr>
              <w:t>5</w:t>
            </w:r>
          </w:p>
        </w:tc>
        <w:tc>
          <w:tcPr>
            <w:tcW w:w="3319" w:type="dxa"/>
            <w:vAlign w:val="center"/>
          </w:tcPr>
          <w:p w:rsidR="005A148C" w:rsidRPr="00B916EC" w:rsidRDefault="005A148C" w:rsidP="000E3F2F">
            <w:pPr>
              <w:pStyle w:val="TAC"/>
            </w:pPr>
            <w:r w:rsidRPr="00B916EC">
              <w:rPr>
                <w:rStyle w:val="CommentReference"/>
                <w:rFonts w:cs="Arial"/>
                <w:szCs w:val="18"/>
              </w:rPr>
              <w:t>1</w:t>
            </w:r>
          </w:p>
        </w:tc>
        <w:tc>
          <w:tcPr>
            <w:tcW w:w="903" w:type="dxa"/>
            <w:vAlign w:val="center"/>
          </w:tcPr>
          <w:p w:rsidR="005A148C" w:rsidRPr="00B916EC" w:rsidRDefault="005A148C" w:rsidP="000E3F2F">
            <w:pPr>
              <w:pStyle w:val="TAC"/>
            </w:pPr>
            <w:r w:rsidRPr="00B916EC">
              <w:rPr>
                <w:rStyle w:val="CommentReference"/>
                <w:rFonts w:cs="Arial"/>
                <w:szCs w:val="18"/>
              </w:rPr>
              <w:t>1</w:t>
            </w:r>
          </w:p>
        </w:tc>
        <w:tc>
          <w:tcPr>
            <w:tcW w:w="3419" w:type="dxa"/>
            <w:vAlign w:val="center"/>
          </w:tcPr>
          <w:p w:rsidR="005A148C" w:rsidRPr="00B916EC" w:rsidRDefault="005A148C" w:rsidP="000E3F2F">
            <w:pPr>
              <w:pStyle w:val="TAC"/>
            </w:pPr>
            <w:r w:rsidRPr="00B916EC">
              <w:rPr>
                <w:rStyle w:val="CommentReference"/>
                <w:rFonts w:cs="Arial"/>
                <w:szCs w:val="18"/>
              </w:rPr>
              <w:t>0</w:t>
            </w:r>
          </w:p>
        </w:tc>
      </w:tr>
      <w:tr w:rsidR="005A148C" w:rsidRPr="00B916EC" w:rsidTr="000E3F2F">
        <w:trPr>
          <w:cantSplit/>
        </w:trPr>
        <w:tc>
          <w:tcPr>
            <w:tcW w:w="805" w:type="dxa"/>
            <w:tcBorders>
              <w:right w:val="double" w:sz="4" w:space="0" w:color="auto"/>
            </w:tcBorders>
            <w:shd w:val="clear" w:color="auto" w:fill="auto"/>
            <w:vAlign w:val="center"/>
          </w:tcPr>
          <w:p w:rsidR="005A148C" w:rsidRPr="00B916EC" w:rsidRDefault="005A148C" w:rsidP="000E3F2F">
            <w:pPr>
              <w:pStyle w:val="TAC"/>
            </w:pPr>
            <w:r>
              <w:t>3</w:t>
            </w:r>
          </w:p>
        </w:tc>
        <w:tc>
          <w:tcPr>
            <w:tcW w:w="987" w:type="dxa"/>
            <w:tcBorders>
              <w:left w:val="double" w:sz="4" w:space="0" w:color="auto"/>
            </w:tcBorders>
            <w:vAlign w:val="center"/>
          </w:tcPr>
          <w:p w:rsidR="005A148C" w:rsidRPr="00B916EC" w:rsidRDefault="005A148C" w:rsidP="000E3F2F">
            <w:pPr>
              <w:pStyle w:val="TAC"/>
            </w:pPr>
            <w:r w:rsidRPr="00B916EC">
              <w:rPr>
                <w:rStyle w:val="CommentReference"/>
                <w:rFonts w:cs="Arial"/>
                <w:szCs w:val="18"/>
              </w:rPr>
              <w:t>5</w:t>
            </w:r>
          </w:p>
        </w:tc>
        <w:tc>
          <w:tcPr>
            <w:tcW w:w="3319" w:type="dxa"/>
            <w:vAlign w:val="center"/>
          </w:tcPr>
          <w:p w:rsidR="005A148C" w:rsidRPr="00B916EC" w:rsidRDefault="005A148C" w:rsidP="000E3F2F">
            <w:pPr>
              <w:pStyle w:val="TAC"/>
            </w:pPr>
            <w:r w:rsidRPr="00B916EC">
              <w:rPr>
                <w:rStyle w:val="CommentReference"/>
                <w:rFonts w:cs="Arial"/>
                <w:szCs w:val="18"/>
              </w:rPr>
              <w:t>2</w:t>
            </w:r>
          </w:p>
        </w:tc>
        <w:tc>
          <w:tcPr>
            <w:tcW w:w="903" w:type="dxa"/>
            <w:vAlign w:val="center"/>
          </w:tcPr>
          <w:p w:rsidR="005A148C" w:rsidRPr="00B916EC" w:rsidRDefault="005A148C" w:rsidP="000E3F2F">
            <w:pPr>
              <w:pStyle w:val="TAC"/>
            </w:pPr>
            <w:r w:rsidRPr="00B916EC">
              <w:rPr>
                <w:rStyle w:val="CommentReference"/>
                <w:rFonts w:cs="Arial"/>
                <w:szCs w:val="18"/>
              </w:rPr>
              <w:t>1</w:t>
            </w:r>
            <w:r>
              <w:rPr>
                <w:rStyle w:val="CommentReference"/>
                <w:rFonts w:cs="Arial"/>
                <w:szCs w:val="18"/>
              </w:rPr>
              <w:t>/2</w:t>
            </w:r>
          </w:p>
        </w:tc>
        <w:tc>
          <w:tcPr>
            <w:tcW w:w="3419" w:type="dxa"/>
            <w:vAlign w:val="center"/>
          </w:tcPr>
          <w:p w:rsidR="005A148C" w:rsidRPr="00B916EC" w:rsidRDefault="005A148C" w:rsidP="000E3F2F">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v:shape id="_x0000_i1029" type="#_x0000_t75" style="width:7.5pt;height:14.15pt" o:ole="">
                  <v:imagedata r:id="rId15" o:title=""/>
                </v:shape>
                <o:OLEObject Type="Embed" ProgID="Equation.3" ShapeID="_x0000_i1029" DrawAspect="Content" ObjectID="_1627544253" r:id="rId19"/>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v:shape id="_x0000_i1030" type="#_x0000_t75" style="width:7.5pt;height:14.15pt" o:ole="">
                  <v:imagedata r:id="rId17" o:title=""/>
                </v:shape>
                <o:OLEObject Type="Embed" ProgID="Equation.3" ShapeID="_x0000_i1030" DrawAspect="Content" ObjectID="_1627544254" r:id="rId20"/>
              </w:object>
            </w:r>
            <w:r>
              <w:t xml:space="preserve"> is odd</w:t>
            </w:r>
            <w:r w:rsidRPr="00B916EC">
              <w:rPr>
                <w:rStyle w:val="CommentReference"/>
                <w:rFonts w:cs="Arial"/>
                <w:szCs w:val="18"/>
              </w:rPr>
              <w:t>}</w:t>
            </w:r>
          </w:p>
        </w:tc>
      </w:tr>
      <w:tr w:rsidR="005A148C" w:rsidRPr="002C3037" w:rsidTr="000E3F2F">
        <w:trPr>
          <w:cantSplit/>
        </w:trPr>
        <w:tc>
          <w:tcPr>
            <w:tcW w:w="805" w:type="dxa"/>
            <w:tcBorders>
              <w:right w:val="double" w:sz="4" w:space="0" w:color="auto"/>
            </w:tcBorders>
            <w:shd w:val="clear" w:color="auto" w:fill="auto"/>
            <w:vAlign w:val="center"/>
          </w:tcPr>
          <w:p w:rsidR="005A148C" w:rsidRPr="002C3037" w:rsidRDefault="005A148C" w:rsidP="000E3F2F">
            <w:pPr>
              <w:pStyle w:val="TAC"/>
            </w:pPr>
            <w:r w:rsidRPr="002C3037">
              <w:t>4</w:t>
            </w:r>
          </w:p>
        </w:tc>
        <w:tc>
          <w:tcPr>
            <w:tcW w:w="987" w:type="dxa"/>
            <w:tcBorders>
              <w:left w:val="double" w:sz="4" w:space="0" w:color="auto"/>
            </w:tcBorders>
            <w:vAlign w:val="center"/>
          </w:tcPr>
          <w:p w:rsidR="005A148C" w:rsidRPr="002C3037" w:rsidRDefault="005A148C" w:rsidP="000E3F2F">
            <w:pPr>
              <w:pStyle w:val="TAC"/>
            </w:pPr>
            <w:r w:rsidRPr="002C3037">
              <w:rPr>
                <w:rStyle w:val="CommentReference"/>
                <w:rFonts w:cs="Arial"/>
                <w:szCs w:val="18"/>
              </w:rPr>
              <w:t>0</w:t>
            </w:r>
          </w:p>
        </w:tc>
        <w:tc>
          <w:tcPr>
            <w:tcW w:w="3319" w:type="dxa"/>
            <w:vAlign w:val="center"/>
          </w:tcPr>
          <w:p w:rsidR="005A148C" w:rsidRPr="002C3037" w:rsidRDefault="005A148C" w:rsidP="000E3F2F">
            <w:pPr>
              <w:pStyle w:val="TAC"/>
            </w:pPr>
            <w:r w:rsidRPr="002C3037">
              <w:rPr>
                <w:rStyle w:val="CommentReference"/>
                <w:rFonts w:cs="Arial"/>
                <w:szCs w:val="18"/>
              </w:rPr>
              <w:t>2</w:t>
            </w:r>
          </w:p>
        </w:tc>
        <w:tc>
          <w:tcPr>
            <w:tcW w:w="903" w:type="dxa"/>
            <w:vAlign w:val="center"/>
          </w:tcPr>
          <w:p w:rsidR="005A148C" w:rsidRPr="002C3037" w:rsidRDefault="005A148C" w:rsidP="000E3F2F">
            <w:pPr>
              <w:pStyle w:val="TAC"/>
            </w:pPr>
            <w:r w:rsidRPr="002C3037">
              <w:rPr>
                <w:rStyle w:val="CommentReference"/>
                <w:rFonts w:cs="Arial"/>
                <w:szCs w:val="18"/>
              </w:rPr>
              <w:t>1/2</w:t>
            </w:r>
          </w:p>
        </w:tc>
        <w:tc>
          <w:tcPr>
            <w:tcW w:w="3419" w:type="dxa"/>
            <w:vAlign w:val="center"/>
          </w:tcPr>
          <w:p w:rsidR="005A148C" w:rsidRPr="002C3037" w:rsidRDefault="005A148C" w:rsidP="000E3F2F">
            <w:pPr>
              <w:pStyle w:val="TAC"/>
            </w:pPr>
            <w:r w:rsidRPr="002C3037">
              <w:rPr>
                <w:rStyle w:val="CommentReference"/>
                <w:rFonts w:cs="Arial"/>
                <w:szCs w:val="18"/>
              </w:rPr>
              <w:t xml:space="preserve"> {0, if </w:t>
            </w:r>
            <w:r w:rsidRPr="002C3037">
              <w:rPr>
                <w:position w:val="-6"/>
              </w:rPr>
              <w:object w:dxaOrig="139" w:dyaOrig="240">
                <v:shape id="_x0000_i1031" type="#_x0000_t75" style="width:7.5pt;height:14.15pt" o:ole="">
                  <v:imagedata r:id="rId15" o:title=""/>
                </v:shape>
                <o:OLEObject Type="Embed" ProgID="Equation.3" ShapeID="_x0000_i1031" DrawAspect="Content" ObjectID="_1627544255" r:id="rId21"/>
              </w:object>
            </w:r>
            <w:r w:rsidRPr="002C3037">
              <w:t xml:space="preserve"> is even}</w:t>
            </w:r>
            <w:r w:rsidRPr="002C3037">
              <w:rPr>
                <w:rStyle w:val="CommentReference"/>
                <w:rFonts w:cs="Arial"/>
                <w:szCs w:val="18"/>
              </w:rPr>
              <w:t>, {</w:t>
            </w:r>
            <w:r w:rsidRPr="002C3037">
              <w:rPr>
                <w:position w:val="-12"/>
              </w:rPr>
              <w:object w:dxaOrig="780" w:dyaOrig="360">
                <v:shape id="_x0000_i1032" type="#_x0000_t75" style="width:38.3pt;height:17.5pt" o:ole="">
                  <v:imagedata r:id="rId22" o:title=""/>
                </v:shape>
                <o:OLEObject Type="Embed" ProgID="Equation.3" ShapeID="_x0000_i1032" DrawAspect="Content" ObjectID="_1627544256" r:id="rId23"/>
              </w:object>
            </w:r>
            <w:r w:rsidRPr="002C3037">
              <w:t xml:space="preserve">, if </w:t>
            </w:r>
            <w:r w:rsidRPr="002C3037">
              <w:rPr>
                <w:position w:val="-6"/>
              </w:rPr>
              <w:object w:dxaOrig="139" w:dyaOrig="240">
                <v:shape id="_x0000_i1033" type="#_x0000_t75" style="width:7.5pt;height:14.15pt" o:ole="">
                  <v:imagedata r:id="rId17" o:title=""/>
                </v:shape>
                <o:OLEObject Type="Embed" ProgID="Equation.3" ShapeID="_x0000_i1033" DrawAspect="Content" ObjectID="_1627544257" r:id="rId24"/>
              </w:object>
            </w:r>
            <w:r w:rsidRPr="002C3037">
              <w:t xml:space="preserve"> is odd</w:t>
            </w:r>
            <w:r w:rsidRPr="002C3037">
              <w:rPr>
                <w:rStyle w:val="CommentReference"/>
                <w:rFonts w:cs="Arial"/>
                <w:szCs w:val="18"/>
              </w:rPr>
              <w:t>}</w:t>
            </w:r>
          </w:p>
        </w:tc>
      </w:tr>
      <w:tr w:rsidR="005A148C" w:rsidRPr="002C3037" w:rsidTr="000E3F2F">
        <w:trPr>
          <w:cantSplit/>
        </w:trPr>
        <w:tc>
          <w:tcPr>
            <w:tcW w:w="805" w:type="dxa"/>
            <w:tcBorders>
              <w:right w:val="double" w:sz="4" w:space="0" w:color="auto"/>
            </w:tcBorders>
            <w:shd w:val="clear" w:color="auto" w:fill="auto"/>
            <w:vAlign w:val="center"/>
          </w:tcPr>
          <w:p w:rsidR="005A148C" w:rsidRPr="002C3037" w:rsidRDefault="005A148C" w:rsidP="000E3F2F">
            <w:pPr>
              <w:pStyle w:val="TAC"/>
            </w:pPr>
            <w:r w:rsidRPr="002C3037">
              <w:t>5</w:t>
            </w:r>
          </w:p>
        </w:tc>
        <w:tc>
          <w:tcPr>
            <w:tcW w:w="987" w:type="dxa"/>
            <w:tcBorders>
              <w:left w:val="double" w:sz="4" w:space="0" w:color="auto"/>
            </w:tcBorders>
            <w:vAlign w:val="center"/>
          </w:tcPr>
          <w:p w:rsidR="005A148C" w:rsidRPr="002C3037" w:rsidRDefault="005A148C" w:rsidP="000E3F2F">
            <w:pPr>
              <w:pStyle w:val="TAC"/>
            </w:pPr>
            <w:r w:rsidRPr="002C3037">
              <w:rPr>
                <w:rStyle w:val="CommentReference"/>
                <w:rFonts w:cs="Arial"/>
                <w:szCs w:val="18"/>
              </w:rPr>
              <w:t>5</w:t>
            </w:r>
          </w:p>
        </w:tc>
        <w:tc>
          <w:tcPr>
            <w:tcW w:w="3319" w:type="dxa"/>
            <w:vAlign w:val="center"/>
          </w:tcPr>
          <w:p w:rsidR="005A148C" w:rsidRPr="002C3037" w:rsidRDefault="005A148C" w:rsidP="000E3F2F">
            <w:pPr>
              <w:pStyle w:val="TAC"/>
            </w:pPr>
            <w:r w:rsidRPr="002C3037">
              <w:rPr>
                <w:rStyle w:val="CommentReference"/>
                <w:rFonts w:cs="Arial"/>
                <w:szCs w:val="18"/>
              </w:rPr>
              <w:t>2</w:t>
            </w:r>
          </w:p>
        </w:tc>
        <w:tc>
          <w:tcPr>
            <w:tcW w:w="903" w:type="dxa"/>
            <w:vAlign w:val="center"/>
          </w:tcPr>
          <w:p w:rsidR="005A148C" w:rsidRPr="002C3037" w:rsidRDefault="005A148C" w:rsidP="000E3F2F">
            <w:pPr>
              <w:pStyle w:val="TAC"/>
            </w:pPr>
            <w:r w:rsidRPr="002C3037">
              <w:rPr>
                <w:rStyle w:val="CommentReference"/>
                <w:rFonts w:cs="Arial"/>
                <w:szCs w:val="18"/>
              </w:rPr>
              <w:t>1/2</w:t>
            </w:r>
          </w:p>
        </w:tc>
        <w:tc>
          <w:tcPr>
            <w:tcW w:w="3419" w:type="dxa"/>
            <w:vAlign w:val="center"/>
          </w:tcPr>
          <w:p w:rsidR="005A148C" w:rsidRPr="002C3037" w:rsidRDefault="005A148C" w:rsidP="000E3F2F">
            <w:pPr>
              <w:pStyle w:val="TAC"/>
            </w:pPr>
            <w:r w:rsidRPr="002C3037">
              <w:rPr>
                <w:rStyle w:val="CommentReference"/>
                <w:rFonts w:cs="Arial"/>
                <w:szCs w:val="18"/>
              </w:rPr>
              <w:t xml:space="preserve"> {0, if </w:t>
            </w:r>
            <w:r w:rsidRPr="002C3037">
              <w:rPr>
                <w:position w:val="-6"/>
              </w:rPr>
              <w:object w:dxaOrig="139" w:dyaOrig="240">
                <v:shape id="_x0000_i1034" type="#_x0000_t75" style="width:7.5pt;height:14.15pt" o:ole="">
                  <v:imagedata r:id="rId15" o:title=""/>
                </v:shape>
                <o:OLEObject Type="Embed" ProgID="Equation.3" ShapeID="_x0000_i1034" DrawAspect="Content" ObjectID="_1627544258" r:id="rId25"/>
              </w:object>
            </w:r>
            <w:r w:rsidRPr="002C3037">
              <w:t xml:space="preserve"> is even}</w:t>
            </w:r>
            <w:r w:rsidRPr="002C3037">
              <w:rPr>
                <w:rStyle w:val="CommentReference"/>
                <w:rFonts w:cs="Arial"/>
                <w:szCs w:val="18"/>
              </w:rPr>
              <w:t>, {</w:t>
            </w:r>
            <w:r w:rsidRPr="002C3037">
              <w:rPr>
                <w:position w:val="-12"/>
              </w:rPr>
              <w:object w:dxaOrig="780" w:dyaOrig="360">
                <v:shape id="_x0000_i1035" type="#_x0000_t75" style="width:38.3pt;height:17.5pt" o:ole="">
                  <v:imagedata r:id="rId22" o:title=""/>
                </v:shape>
                <o:OLEObject Type="Embed" ProgID="Equation.3" ShapeID="_x0000_i1035" DrawAspect="Content" ObjectID="_1627544259" r:id="rId26"/>
              </w:object>
            </w:r>
            <w:r w:rsidRPr="002C3037">
              <w:t xml:space="preserve">, if </w:t>
            </w:r>
            <w:r w:rsidRPr="002C3037">
              <w:rPr>
                <w:position w:val="-6"/>
              </w:rPr>
              <w:object w:dxaOrig="139" w:dyaOrig="240">
                <v:shape id="_x0000_i1036" type="#_x0000_t75" style="width:7.5pt;height:14.15pt" o:ole="">
                  <v:imagedata r:id="rId17" o:title=""/>
                </v:shape>
                <o:OLEObject Type="Embed" ProgID="Equation.3" ShapeID="_x0000_i1036" DrawAspect="Content" ObjectID="_1627544260" r:id="rId27"/>
              </w:object>
            </w:r>
            <w:r w:rsidRPr="002C3037">
              <w:t xml:space="preserve"> is odd</w:t>
            </w:r>
            <w:r w:rsidRPr="002C3037">
              <w:rPr>
                <w:rStyle w:val="CommentReference"/>
                <w:rFonts w:cs="Arial"/>
                <w:szCs w:val="18"/>
              </w:rPr>
              <w:t>}</w:t>
            </w:r>
          </w:p>
        </w:tc>
      </w:tr>
      <w:tr w:rsidR="005A148C" w:rsidRPr="00B916EC" w:rsidTr="000E3F2F">
        <w:trPr>
          <w:cantSplit/>
        </w:trPr>
        <w:tc>
          <w:tcPr>
            <w:tcW w:w="805" w:type="dxa"/>
            <w:tcBorders>
              <w:right w:val="double" w:sz="4" w:space="0" w:color="auto"/>
            </w:tcBorders>
            <w:shd w:val="clear" w:color="auto" w:fill="auto"/>
            <w:vAlign w:val="center"/>
          </w:tcPr>
          <w:p w:rsidR="005A148C" w:rsidRPr="00632AAB" w:rsidRDefault="005A148C" w:rsidP="000E3F2F">
            <w:pPr>
              <w:pStyle w:val="TAC"/>
              <w:rPr>
                <w:highlight w:val="red"/>
              </w:rPr>
            </w:pPr>
            <w:r>
              <w:t>6</w:t>
            </w:r>
          </w:p>
        </w:tc>
        <w:tc>
          <w:tcPr>
            <w:tcW w:w="8628" w:type="dxa"/>
            <w:gridSpan w:val="4"/>
            <w:tcBorders>
              <w:left w:val="double" w:sz="4" w:space="0" w:color="auto"/>
            </w:tcBorders>
            <w:vAlign w:val="center"/>
          </w:tcPr>
          <w:p w:rsidR="005A148C" w:rsidRPr="00632AAB" w:rsidRDefault="005A148C" w:rsidP="000E3F2F">
            <w:pPr>
              <w:pStyle w:val="TAC"/>
              <w:rPr>
                <w:highlight w:val="red"/>
              </w:rPr>
            </w:pPr>
            <w:r w:rsidRPr="00B916EC">
              <w:rPr>
                <w:rFonts w:cs="Arial"/>
                <w:kern w:val="24"/>
                <w:szCs w:val="18"/>
              </w:rPr>
              <w:t>Reserved</w:t>
            </w:r>
          </w:p>
        </w:tc>
      </w:tr>
      <w:tr w:rsidR="005A148C" w:rsidRPr="00B916EC" w:rsidTr="000E3F2F">
        <w:trPr>
          <w:cantSplit/>
        </w:trPr>
        <w:tc>
          <w:tcPr>
            <w:tcW w:w="805" w:type="dxa"/>
            <w:tcBorders>
              <w:right w:val="double" w:sz="4" w:space="0" w:color="auto"/>
            </w:tcBorders>
            <w:shd w:val="clear" w:color="auto" w:fill="auto"/>
            <w:vAlign w:val="center"/>
          </w:tcPr>
          <w:p w:rsidR="005A148C" w:rsidRPr="00B916EC" w:rsidRDefault="005A148C" w:rsidP="000E3F2F">
            <w:pPr>
              <w:pStyle w:val="TAC"/>
            </w:pPr>
            <w:r>
              <w:t>7</w:t>
            </w:r>
          </w:p>
        </w:tc>
        <w:tc>
          <w:tcPr>
            <w:tcW w:w="8628" w:type="dxa"/>
            <w:gridSpan w:val="4"/>
            <w:tcBorders>
              <w:left w:val="double" w:sz="4" w:space="0" w:color="auto"/>
            </w:tcBorders>
            <w:vAlign w:val="center"/>
          </w:tcPr>
          <w:p w:rsidR="005A148C" w:rsidRPr="00B916EC" w:rsidRDefault="005A148C" w:rsidP="000E3F2F">
            <w:pPr>
              <w:pStyle w:val="TAC"/>
              <w:rPr>
                <w:rFonts w:cs="Arial"/>
                <w:kern w:val="24"/>
                <w:szCs w:val="18"/>
              </w:rPr>
            </w:pPr>
            <w:r w:rsidRPr="00B916EC">
              <w:rPr>
                <w:rFonts w:cs="Arial"/>
                <w:kern w:val="24"/>
                <w:szCs w:val="18"/>
              </w:rPr>
              <w:t>Reserved</w:t>
            </w:r>
          </w:p>
        </w:tc>
      </w:tr>
      <w:tr w:rsidR="005A148C" w:rsidRPr="00B916EC" w:rsidTr="000E3F2F">
        <w:trPr>
          <w:cantSplit/>
        </w:trPr>
        <w:tc>
          <w:tcPr>
            <w:tcW w:w="805" w:type="dxa"/>
            <w:tcBorders>
              <w:right w:val="double" w:sz="4" w:space="0" w:color="auto"/>
            </w:tcBorders>
            <w:shd w:val="clear" w:color="auto" w:fill="auto"/>
            <w:vAlign w:val="center"/>
          </w:tcPr>
          <w:p w:rsidR="005A148C" w:rsidRPr="00B916EC" w:rsidRDefault="005A148C" w:rsidP="000E3F2F">
            <w:pPr>
              <w:pStyle w:val="TAC"/>
            </w:pPr>
            <w:r>
              <w:t>8</w:t>
            </w:r>
          </w:p>
        </w:tc>
        <w:tc>
          <w:tcPr>
            <w:tcW w:w="8628" w:type="dxa"/>
            <w:gridSpan w:val="4"/>
            <w:tcBorders>
              <w:left w:val="double" w:sz="4" w:space="0" w:color="auto"/>
            </w:tcBorders>
            <w:vAlign w:val="center"/>
          </w:tcPr>
          <w:p w:rsidR="005A148C" w:rsidRPr="00B916EC" w:rsidRDefault="005A148C" w:rsidP="000E3F2F">
            <w:pPr>
              <w:pStyle w:val="TAC"/>
              <w:rPr>
                <w:rFonts w:cs="Arial"/>
                <w:kern w:val="24"/>
                <w:szCs w:val="18"/>
              </w:rPr>
            </w:pPr>
            <w:r w:rsidRPr="00B916EC">
              <w:rPr>
                <w:rFonts w:cs="Arial"/>
                <w:kern w:val="24"/>
                <w:szCs w:val="18"/>
              </w:rPr>
              <w:t>Reserved</w:t>
            </w:r>
          </w:p>
        </w:tc>
      </w:tr>
      <w:tr w:rsidR="005A148C" w:rsidRPr="00B916EC" w:rsidTr="000E3F2F">
        <w:trPr>
          <w:cantSplit/>
        </w:trPr>
        <w:tc>
          <w:tcPr>
            <w:tcW w:w="805" w:type="dxa"/>
            <w:tcBorders>
              <w:right w:val="double" w:sz="4" w:space="0" w:color="auto"/>
            </w:tcBorders>
            <w:shd w:val="clear" w:color="auto" w:fill="auto"/>
            <w:vAlign w:val="center"/>
          </w:tcPr>
          <w:p w:rsidR="005A148C" w:rsidRPr="00B916EC" w:rsidRDefault="005A148C" w:rsidP="000E3F2F">
            <w:pPr>
              <w:pStyle w:val="TAC"/>
            </w:pPr>
            <w:r>
              <w:t>9</w:t>
            </w:r>
          </w:p>
        </w:tc>
        <w:tc>
          <w:tcPr>
            <w:tcW w:w="8628" w:type="dxa"/>
            <w:gridSpan w:val="4"/>
            <w:tcBorders>
              <w:left w:val="double" w:sz="4" w:space="0" w:color="auto"/>
            </w:tcBorders>
            <w:vAlign w:val="center"/>
          </w:tcPr>
          <w:p w:rsidR="005A148C" w:rsidRPr="00B916EC" w:rsidRDefault="005A148C" w:rsidP="000E3F2F">
            <w:pPr>
              <w:pStyle w:val="TAC"/>
              <w:rPr>
                <w:rFonts w:cs="Arial"/>
                <w:kern w:val="24"/>
                <w:szCs w:val="18"/>
              </w:rPr>
            </w:pPr>
            <w:r w:rsidRPr="00B916EC">
              <w:rPr>
                <w:rFonts w:cs="Arial"/>
                <w:kern w:val="24"/>
                <w:szCs w:val="18"/>
              </w:rPr>
              <w:t>Reserved</w:t>
            </w:r>
          </w:p>
        </w:tc>
      </w:tr>
      <w:tr w:rsidR="005A148C" w:rsidRPr="00B916EC" w:rsidTr="000E3F2F">
        <w:trPr>
          <w:cantSplit/>
        </w:trPr>
        <w:tc>
          <w:tcPr>
            <w:tcW w:w="805" w:type="dxa"/>
            <w:tcBorders>
              <w:right w:val="double" w:sz="4" w:space="0" w:color="auto"/>
            </w:tcBorders>
            <w:shd w:val="clear" w:color="auto" w:fill="auto"/>
            <w:vAlign w:val="center"/>
          </w:tcPr>
          <w:p w:rsidR="005A148C" w:rsidRPr="00B916EC" w:rsidRDefault="005A148C" w:rsidP="000E3F2F">
            <w:pPr>
              <w:pStyle w:val="TAC"/>
            </w:pPr>
            <w:r>
              <w:t>10</w:t>
            </w:r>
          </w:p>
        </w:tc>
        <w:tc>
          <w:tcPr>
            <w:tcW w:w="8628" w:type="dxa"/>
            <w:gridSpan w:val="4"/>
            <w:tcBorders>
              <w:left w:val="double" w:sz="4" w:space="0" w:color="auto"/>
            </w:tcBorders>
            <w:vAlign w:val="center"/>
          </w:tcPr>
          <w:p w:rsidR="005A148C" w:rsidRPr="00B916EC" w:rsidRDefault="005A148C" w:rsidP="000E3F2F">
            <w:pPr>
              <w:pStyle w:val="TAC"/>
              <w:rPr>
                <w:rFonts w:cs="Arial"/>
                <w:kern w:val="24"/>
                <w:szCs w:val="18"/>
              </w:rPr>
            </w:pPr>
            <w:r w:rsidRPr="00B916EC">
              <w:rPr>
                <w:rFonts w:cs="Arial"/>
                <w:kern w:val="24"/>
                <w:szCs w:val="18"/>
              </w:rPr>
              <w:t>Reserved</w:t>
            </w:r>
          </w:p>
        </w:tc>
      </w:tr>
      <w:tr w:rsidR="005A148C" w:rsidRPr="00B916EC" w:rsidTr="000E3F2F">
        <w:trPr>
          <w:cantSplit/>
        </w:trPr>
        <w:tc>
          <w:tcPr>
            <w:tcW w:w="805" w:type="dxa"/>
            <w:tcBorders>
              <w:right w:val="double" w:sz="4" w:space="0" w:color="auto"/>
            </w:tcBorders>
            <w:shd w:val="clear" w:color="auto" w:fill="auto"/>
            <w:vAlign w:val="center"/>
          </w:tcPr>
          <w:p w:rsidR="005A148C" w:rsidRPr="00B916EC" w:rsidRDefault="005A148C" w:rsidP="000E3F2F">
            <w:pPr>
              <w:pStyle w:val="TAC"/>
            </w:pPr>
            <w:r>
              <w:t>11</w:t>
            </w:r>
          </w:p>
        </w:tc>
        <w:tc>
          <w:tcPr>
            <w:tcW w:w="8628" w:type="dxa"/>
            <w:gridSpan w:val="4"/>
            <w:tcBorders>
              <w:left w:val="double" w:sz="4" w:space="0" w:color="auto"/>
            </w:tcBorders>
            <w:vAlign w:val="center"/>
          </w:tcPr>
          <w:p w:rsidR="005A148C" w:rsidRPr="00B916EC" w:rsidRDefault="005A148C" w:rsidP="000E3F2F">
            <w:pPr>
              <w:pStyle w:val="TAC"/>
              <w:rPr>
                <w:rFonts w:cs="Arial"/>
                <w:kern w:val="24"/>
                <w:szCs w:val="18"/>
              </w:rPr>
            </w:pPr>
            <w:r w:rsidRPr="00B916EC">
              <w:rPr>
                <w:rFonts w:cs="Arial"/>
                <w:kern w:val="24"/>
                <w:szCs w:val="18"/>
              </w:rPr>
              <w:t>Reserved</w:t>
            </w:r>
          </w:p>
        </w:tc>
      </w:tr>
      <w:tr w:rsidR="005A148C" w:rsidRPr="00B916EC" w:rsidTr="000E3F2F">
        <w:trPr>
          <w:cantSplit/>
        </w:trPr>
        <w:tc>
          <w:tcPr>
            <w:tcW w:w="805" w:type="dxa"/>
            <w:tcBorders>
              <w:right w:val="double" w:sz="4" w:space="0" w:color="auto"/>
            </w:tcBorders>
            <w:shd w:val="clear" w:color="auto" w:fill="auto"/>
            <w:vAlign w:val="center"/>
          </w:tcPr>
          <w:p w:rsidR="005A148C" w:rsidRPr="00B916EC" w:rsidRDefault="005A148C" w:rsidP="000E3F2F">
            <w:pPr>
              <w:pStyle w:val="TAC"/>
            </w:pPr>
            <w:r>
              <w:t>12</w:t>
            </w:r>
          </w:p>
        </w:tc>
        <w:tc>
          <w:tcPr>
            <w:tcW w:w="8628" w:type="dxa"/>
            <w:gridSpan w:val="4"/>
            <w:tcBorders>
              <w:left w:val="double" w:sz="4" w:space="0" w:color="auto"/>
            </w:tcBorders>
            <w:vAlign w:val="center"/>
          </w:tcPr>
          <w:p w:rsidR="005A148C" w:rsidRPr="00B916EC" w:rsidRDefault="005A148C" w:rsidP="000E3F2F">
            <w:pPr>
              <w:pStyle w:val="TAC"/>
              <w:rPr>
                <w:rFonts w:cs="Arial"/>
                <w:kern w:val="24"/>
                <w:szCs w:val="18"/>
              </w:rPr>
            </w:pPr>
            <w:r w:rsidRPr="00B916EC">
              <w:rPr>
                <w:rFonts w:cs="Arial"/>
                <w:kern w:val="24"/>
                <w:szCs w:val="18"/>
              </w:rPr>
              <w:t>Reserved</w:t>
            </w:r>
          </w:p>
        </w:tc>
      </w:tr>
      <w:tr w:rsidR="005A148C" w:rsidRPr="00B916EC" w:rsidTr="000E3F2F">
        <w:trPr>
          <w:cantSplit/>
        </w:trPr>
        <w:tc>
          <w:tcPr>
            <w:tcW w:w="805" w:type="dxa"/>
            <w:tcBorders>
              <w:right w:val="double" w:sz="4" w:space="0" w:color="auto"/>
            </w:tcBorders>
            <w:shd w:val="clear" w:color="auto" w:fill="auto"/>
            <w:vAlign w:val="center"/>
          </w:tcPr>
          <w:p w:rsidR="005A148C" w:rsidRPr="00B916EC" w:rsidRDefault="005A148C" w:rsidP="000E3F2F">
            <w:pPr>
              <w:pStyle w:val="TAC"/>
            </w:pPr>
            <w:r>
              <w:t>13</w:t>
            </w:r>
          </w:p>
        </w:tc>
        <w:tc>
          <w:tcPr>
            <w:tcW w:w="8628" w:type="dxa"/>
            <w:gridSpan w:val="4"/>
            <w:tcBorders>
              <w:left w:val="double" w:sz="4" w:space="0" w:color="auto"/>
            </w:tcBorders>
            <w:vAlign w:val="center"/>
          </w:tcPr>
          <w:p w:rsidR="005A148C" w:rsidRPr="00B916EC" w:rsidRDefault="005A148C" w:rsidP="000E3F2F">
            <w:pPr>
              <w:pStyle w:val="TAC"/>
              <w:rPr>
                <w:rFonts w:cs="Arial"/>
                <w:kern w:val="24"/>
                <w:szCs w:val="18"/>
              </w:rPr>
            </w:pPr>
            <w:r w:rsidRPr="00B916EC">
              <w:rPr>
                <w:rFonts w:cs="Arial"/>
                <w:kern w:val="24"/>
                <w:szCs w:val="18"/>
              </w:rPr>
              <w:t>Reserved</w:t>
            </w:r>
          </w:p>
        </w:tc>
      </w:tr>
      <w:tr w:rsidR="005A148C" w:rsidRPr="00B916EC" w:rsidTr="000E3F2F">
        <w:trPr>
          <w:cantSplit/>
        </w:trPr>
        <w:tc>
          <w:tcPr>
            <w:tcW w:w="805" w:type="dxa"/>
            <w:tcBorders>
              <w:right w:val="double" w:sz="4" w:space="0" w:color="auto"/>
            </w:tcBorders>
            <w:shd w:val="clear" w:color="auto" w:fill="auto"/>
            <w:vAlign w:val="center"/>
          </w:tcPr>
          <w:p w:rsidR="005A148C" w:rsidRPr="00B916EC" w:rsidRDefault="005A148C" w:rsidP="000E3F2F">
            <w:pPr>
              <w:pStyle w:val="TAC"/>
            </w:pPr>
            <w:r>
              <w:t>14</w:t>
            </w:r>
          </w:p>
        </w:tc>
        <w:tc>
          <w:tcPr>
            <w:tcW w:w="8628" w:type="dxa"/>
            <w:gridSpan w:val="4"/>
            <w:tcBorders>
              <w:left w:val="double" w:sz="4" w:space="0" w:color="auto"/>
            </w:tcBorders>
            <w:vAlign w:val="center"/>
          </w:tcPr>
          <w:p w:rsidR="005A148C" w:rsidRPr="00B916EC" w:rsidRDefault="005A148C" w:rsidP="000E3F2F">
            <w:pPr>
              <w:pStyle w:val="TAC"/>
              <w:rPr>
                <w:rFonts w:cs="Arial"/>
                <w:kern w:val="24"/>
                <w:szCs w:val="18"/>
              </w:rPr>
            </w:pPr>
            <w:r w:rsidRPr="00B916EC">
              <w:rPr>
                <w:rFonts w:cs="Arial"/>
                <w:kern w:val="24"/>
                <w:szCs w:val="18"/>
              </w:rPr>
              <w:t>Reserved</w:t>
            </w:r>
          </w:p>
        </w:tc>
      </w:tr>
      <w:tr w:rsidR="005A148C" w:rsidRPr="00B916EC" w:rsidTr="000E3F2F">
        <w:trPr>
          <w:cantSplit/>
        </w:trPr>
        <w:tc>
          <w:tcPr>
            <w:tcW w:w="805" w:type="dxa"/>
            <w:tcBorders>
              <w:right w:val="double" w:sz="4" w:space="0" w:color="auto"/>
            </w:tcBorders>
            <w:shd w:val="clear" w:color="auto" w:fill="auto"/>
            <w:vAlign w:val="center"/>
          </w:tcPr>
          <w:p w:rsidR="005A148C" w:rsidRPr="00632AAB" w:rsidRDefault="005A148C" w:rsidP="000E3F2F">
            <w:pPr>
              <w:pStyle w:val="TAC"/>
              <w:rPr>
                <w:highlight w:val="red"/>
              </w:rPr>
            </w:pPr>
            <w:r w:rsidRPr="00B916EC">
              <w:rPr>
                <w:rFonts w:cs="Arial"/>
                <w:kern w:val="24"/>
                <w:szCs w:val="18"/>
              </w:rPr>
              <w:t>15</w:t>
            </w:r>
          </w:p>
        </w:tc>
        <w:tc>
          <w:tcPr>
            <w:tcW w:w="8628" w:type="dxa"/>
            <w:gridSpan w:val="4"/>
            <w:tcBorders>
              <w:left w:val="double" w:sz="4" w:space="0" w:color="auto"/>
            </w:tcBorders>
            <w:vAlign w:val="center"/>
          </w:tcPr>
          <w:p w:rsidR="005A148C" w:rsidRPr="00632AAB" w:rsidRDefault="005A148C" w:rsidP="000E3F2F">
            <w:pPr>
              <w:pStyle w:val="TAC"/>
              <w:rPr>
                <w:highlight w:val="red"/>
              </w:rPr>
            </w:pPr>
            <w:r w:rsidRPr="00B916EC">
              <w:rPr>
                <w:rFonts w:cs="Arial"/>
                <w:kern w:val="24"/>
                <w:szCs w:val="18"/>
              </w:rPr>
              <w:t>Reserved</w:t>
            </w:r>
          </w:p>
        </w:tc>
      </w:tr>
    </w:tbl>
    <w:p w:rsidR="005A148C" w:rsidRDefault="005A148C" w:rsidP="005A148C"/>
    <w:p w:rsidR="00A7073C" w:rsidRDefault="00A7073C" w:rsidP="00A7073C">
      <w:pPr>
        <w:pStyle w:val="Heading2"/>
      </w:pPr>
      <w:r>
        <w:t>RMSI transmission</w:t>
      </w:r>
    </w:p>
    <w:p w:rsidR="00457BFF" w:rsidRDefault="00457BFF" w:rsidP="00192765">
      <w:pPr>
        <w:rPr>
          <w:lang w:val="en-GB"/>
        </w:rPr>
      </w:pPr>
      <w:r>
        <w:rPr>
          <w:lang w:val="en-GB"/>
        </w:rPr>
        <w:t xml:space="preserve">In NR-U, since most transmissions are subject to LBT, it is reasonable for gNB to transmit important system information together with SSBs in a stand-alone or DC deployment. </w:t>
      </w:r>
      <w:r w:rsidR="00630BAF">
        <w:rPr>
          <w:lang w:val="en-GB"/>
        </w:rPr>
        <w:t xml:space="preserve">With RMSI transmitting in the same slot or same half-slot with SSB, the resource allocation of the RMSI can be conceptually illustrated in </w:t>
      </w:r>
      <w:r w:rsidR="00842B97">
        <w:rPr>
          <w:lang w:val="en-GB"/>
        </w:rPr>
        <w:fldChar w:fldCharType="begin"/>
      </w:r>
      <w:r w:rsidR="00842B97">
        <w:rPr>
          <w:lang w:val="en-GB"/>
        </w:rPr>
        <w:instrText xml:space="preserve"> REF _Ref16927736 \h </w:instrText>
      </w:r>
      <w:r w:rsidR="00842B97">
        <w:rPr>
          <w:lang w:val="en-GB"/>
        </w:rPr>
      </w:r>
      <w:r w:rsidR="00842B97">
        <w:rPr>
          <w:lang w:val="en-GB"/>
        </w:rPr>
        <w:fldChar w:fldCharType="separate"/>
      </w:r>
      <w:r w:rsidR="006D5732">
        <w:t xml:space="preserve">Figure </w:t>
      </w:r>
      <w:r w:rsidR="006D5732">
        <w:rPr>
          <w:noProof/>
        </w:rPr>
        <w:t>1</w:t>
      </w:r>
      <w:r w:rsidR="00842B97">
        <w:rPr>
          <w:lang w:val="en-GB"/>
        </w:rPr>
        <w:fldChar w:fldCharType="end"/>
      </w:r>
      <w:r w:rsidR="00842B97">
        <w:rPr>
          <w:lang w:val="en-GB"/>
        </w:rPr>
        <w:t xml:space="preserve">. In Alt.1, as long as RMSI is purely FDM’ed with SSB, the allocation is supported in NR R15. However, whether or not to place SSBs in the edge of channels is up to RAN4’s decision. As to Alt.2 and Alt.3, rate matching RMSI around SSBs is required to support the RMSI transmissions in Alt.2 and Alt.3. But rate matching RMSI around SSBs is currently not supported in NR R15. In addition, based on the following conclusion made at RAN1 #96 meeting, </w:t>
      </w:r>
      <w:r w:rsidR="00842B97">
        <w:rPr>
          <w:lang w:val="en-GB"/>
        </w:rPr>
        <w:t>the DMRS of a PDSCH should not be colliding with REs that are n</w:t>
      </w:r>
      <w:r w:rsidR="00842B97">
        <w:rPr>
          <w:lang w:val="en-GB"/>
        </w:rPr>
        <w:t xml:space="preserve">ot available for the PDSCH. </w:t>
      </w:r>
    </w:p>
    <w:p w:rsidR="00842B97" w:rsidRPr="00842B97" w:rsidRDefault="00842B97" w:rsidP="00842B97">
      <w:pPr>
        <w:rPr>
          <w:b/>
          <w:i/>
          <w:u w:val="single"/>
        </w:rPr>
      </w:pPr>
      <w:r w:rsidRPr="00842B97">
        <w:rPr>
          <w:b/>
          <w:i/>
          <w:u w:val="single"/>
        </w:rPr>
        <w:t>Conclusion:</w:t>
      </w:r>
    </w:p>
    <w:p w:rsidR="00842B97" w:rsidRPr="00842B97" w:rsidRDefault="00842B97" w:rsidP="00842B97">
      <w:pPr>
        <w:rPr>
          <w:i/>
          <w:lang w:val="en-GB"/>
        </w:rPr>
      </w:pPr>
      <w:r w:rsidRPr="00842B97">
        <w:rPr>
          <w:i/>
          <w:iCs/>
        </w:rPr>
        <w:t xml:space="preserve">It is commonly understood that a gNB </w:t>
      </w:r>
      <w:r w:rsidRPr="00842B97">
        <w:rPr>
          <w:i/>
          <w:iCs/>
          <w:u w:val="single"/>
        </w:rPr>
        <w:t>shall NOT</w:t>
      </w:r>
      <w:r w:rsidRPr="00842B97">
        <w:rPr>
          <w:i/>
          <w:iCs/>
        </w:rPr>
        <w:t xml:space="preserve"> configure/schedule a PDSCH where its DMRS would be colliding, even partially, with any RE(s) not available for PDSCH.</w:t>
      </w:r>
    </w:p>
    <w:p w:rsidR="00842B97" w:rsidRDefault="00842B97" w:rsidP="00842B97">
      <w:pPr>
        <w:pStyle w:val="Caption"/>
        <w:rPr>
          <w:lang w:val="en-GB"/>
        </w:rPr>
      </w:pPr>
      <w:bookmarkStart w:id="9" w:name="_Ref16928687"/>
      <w:r>
        <w:t xml:space="preserve">Observation </w:t>
      </w:r>
      <w:r>
        <w:fldChar w:fldCharType="begin"/>
      </w:r>
      <w:r>
        <w:instrText xml:space="preserve"> SEQ Observation \* ARABIC </w:instrText>
      </w:r>
      <w:r>
        <w:fldChar w:fldCharType="separate"/>
      </w:r>
      <w:r w:rsidR="006D5732">
        <w:rPr>
          <w:noProof/>
        </w:rPr>
        <w:t>1</w:t>
      </w:r>
      <w:r>
        <w:fldChar w:fldCharType="end"/>
      </w:r>
      <w:r>
        <w:t xml:space="preserve">: Alt.2 and Alt.3 in </w:t>
      </w:r>
      <w:r>
        <w:fldChar w:fldCharType="begin"/>
      </w:r>
      <w:r>
        <w:instrText xml:space="preserve"> REF _Ref16927736 \h </w:instrText>
      </w:r>
      <w:r>
        <w:fldChar w:fldCharType="separate"/>
      </w:r>
      <w:r w:rsidR="006D5732">
        <w:t xml:space="preserve">Figure </w:t>
      </w:r>
      <w:r w:rsidR="006D5732">
        <w:rPr>
          <w:noProof/>
        </w:rPr>
        <w:t>1</w:t>
      </w:r>
      <w:r>
        <w:fldChar w:fldCharType="end"/>
      </w:r>
      <w:r>
        <w:t xml:space="preserve"> are not supported in NR R15.</w:t>
      </w:r>
      <w:bookmarkEnd w:id="9"/>
      <w:r>
        <w:t xml:space="preserve"> </w:t>
      </w:r>
    </w:p>
    <w:p w:rsidR="00630BAF" w:rsidRDefault="006D5732" w:rsidP="006D5732">
      <w:pPr>
        <w:jc w:val="center"/>
      </w:pPr>
      <w:r>
        <w:object w:dxaOrig="7811" w:dyaOrig="3321">
          <v:shape id="_x0000_i1037" type="#_x0000_t75" style="width:312.95pt;height:133.2pt" o:ole="">
            <v:imagedata r:id="rId28" o:title=""/>
          </v:shape>
          <o:OLEObject Type="Embed" ProgID="Visio.Drawing.15" ShapeID="_x0000_i1037" DrawAspect="Content" ObjectID="_1627544261" r:id="rId29"/>
        </w:object>
      </w:r>
    </w:p>
    <w:p w:rsidR="00A7073C" w:rsidRDefault="00630BAF" w:rsidP="00D62475">
      <w:pPr>
        <w:pStyle w:val="Caption"/>
        <w:rPr>
          <w:lang w:val="en-GB"/>
        </w:rPr>
      </w:pPr>
      <w:bookmarkStart w:id="10" w:name="_Ref16927736"/>
      <w:r>
        <w:t xml:space="preserve">Figure </w:t>
      </w:r>
      <w:r>
        <w:fldChar w:fldCharType="begin"/>
      </w:r>
      <w:r>
        <w:instrText xml:space="preserve"> SEQ Figure \* ARABIC </w:instrText>
      </w:r>
      <w:r>
        <w:fldChar w:fldCharType="separate"/>
      </w:r>
      <w:r w:rsidR="006D5732">
        <w:rPr>
          <w:noProof/>
        </w:rPr>
        <w:t>1</w:t>
      </w:r>
      <w:r>
        <w:fldChar w:fldCharType="end"/>
      </w:r>
      <w:bookmarkEnd w:id="10"/>
      <w:r>
        <w:t xml:space="preserve">: Examples of allocating RMSI in the same half slot as SSB. In Alt.1, SSB is placed in the edge of a channel. In Alt.2 and Alt.3, SSB is placed in the edge of a channel. Furthermore, in Alt.3, the last symbol of the half slot is also allocated for RMSI transmission. </w:t>
      </w:r>
    </w:p>
    <w:p w:rsidR="00077EBA" w:rsidRDefault="00077EBA" w:rsidP="00A7073C">
      <w:pPr>
        <w:rPr>
          <w:lang w:val="en-GB"/>
        </w:rPr>
      </w:pPr>
      <w:r>
        <w:rPr>
          <w:lang w:val="en-GB"/>
        </w:rPr>
        <w:t xml:space="preserve">Although we slightly prefer to minimize specification change regarding this RMSI resource allocation issue, we think sync raster placement is a little bit more important since it is closely related to channelization and SSB placement in a channel. Therefore, we think rate matching around SSBs can be considered if RAN4 decides not to place sync raster around the edge of a channel.  </w:t>
      </w:r>
    </w:p>
    <w:p w:rsidR="00457BFF" w:rsidRDefault="00077EBA" w:rsidP="00077EBA">
      <w:pPr>
        <w:pStyle w:val="Caption"/>
      </w:pPr>
      <w:bookmarkStart w:id="11" w:name="_Ref16928742"/>
      <w:r>
        <w:t xml:space="preserve">Proposal </w:t>
      </w:r>
      <w:r>
        <w:fldChar w:fldCharType="begin"/>
      </w:r>
      <w:r>
        <w:instrText xml:space="preserve"> SEQ Proposal \* ARABIC </w:instrText>
      </w:r>
      <w:r>
        <w:fldChar w:fldCharType="separate"/>
      </w:r>
      <w:r w:rsidR="006D5732">
        <w:rPr>
          <w:noProof/>
        </w:rPr>
        <w:t>5</w:t>
      </w:r>
      <w:r>
        <w:fldChar w:fldCharType="end"/>
      </w:r>
      <w:r>
        <w:t>: Rate matching RMSI around SSBs can be considered if RAN4 decides not to place sync raster around the edges of channels.</w:t>
      </w:r>
      <w:bookmarkEnd w:id="11"/>
      <w:r>
        <w:t xml:space="preserve"> </w:t>
      </w:r>
    </w:p>
    <w:p w:rsidR="00077EBA" w:rsidRPr="00077EBA" w:rsidRDefault="00077EBA" w:rsidP="00077EBA">
      <w:pPr>
        <w:rPr>
          <w:lang w:val="en-GB"/>
        </w:rPr>
      </w:pPr>
    </w:p>
    <w:p w:rsidR="000E2456" w:rsidRDefault="000E2456" w:rsidP="000E2456">
      <w:pPr>
        <w:pStyle w:val="Heading2"/>
      </w:pPr>
      <w:r w:rsidRPr="000E2456">
        <w:lastRenderedPageBreak/>
        <w:t>DL transmission indicator in NR-U DRS for UE power saving</w:t>
      </w:r>
    </w:p>
    <w:p w:rsidR="00DF11E6" w:rsidRDefault="00DF11E6" w:rsidP="00391C3B">
      <w:pPr>
        <w:jc w:val="both"/>
      </w:pPr>
      <w:r>
        <w:t xml:space="preserve">Several proposals for initial signal design have been identified in </w:t>
      </w:r>
      <w:r>
        <w:fldChar w:fldCharType="begin"/>
      </w:r>
      <w:r>
        <w:instrText xml:space="preserve"> REF _Ref534984474 \n \h </w:instrText>
      </w:r>
      <w:r w:rsidR="00391C3B">
        <w:instrText xml:space="preserve"> \* MERGEFORMAT </w:instrText>
      </w:r>
      <w:r>
        <w:fldChar w:fldCharType="separate"/>
      </w:r>
      <w:r w:rsidR="006D5732">
        <w:t>[2]</w:t>
      </w:r>
      <w:r>
        <w:fldChar w:fldCharType="end"/>
      </w:r>
      <w:r>
        <w:t xml:space="preserve"> that would allow an UE to detect the starting point of a DL transmission. This feature certainly reduces the UE receiver complexity. However, in terms of UE power saving, it still needs an always on RF chain for the detection of initial signal or preamble.</w:t>
      </w:r>
    </w:p>
    <w:p w:rsidR="00DF11E6" w:rsidRPr="00A32856" w:rsidRDefault="00DF11E6" w:rsidP="00391C3B">
      <w:pPr>
        <w:jc w:val="both"/>
      </w:pPr>
      <w:r>
        <w:t xml:space="preserve">For NR operation in the licensed band, an UE typically spends more than 50% of time in sleep modes (including deep sleep, light sleep, and micro sleep mode), depending on traffic types </w:t>
      </w:r>
      <w:r>
        <w:fldChar w:fldCharType="begin"/>
      </w:r>
      <w:r>
        <w:instrText xml:space="preserve"> REF _Ref528932384 \n \h </w:instrText>
      </w:r>
      <w:r w:rsidR="00391C3B">
        <w:instrText xml:space="preserve"> \* MERGEFORMAT </w:instrText>
      </w:r>
      <w:r>
        <w:fldChar w:fldCharType="separate"/>
      </w:r>
      <w:r w:rsidR="006D5732">
        <w:t>[3]</w:t>
      </w:r>
      <w:r>
        <w:fldChar w:fldCharType="end"/>
      </w:r>
      <w:r>
        <w:t>. When in sleep modes, an UE consumes little power since the RF unit is either turned off or operating at a lower clock rate. Switching mechanism between sleep modes and active modes is determined via DRX configurations. With NR DRX, an UE could achieve significant power saving when operating in the licensed band. Similarly in NR-U, in order to reduce UE power consumption, NR DRX could be used with minor modifications. Specifically, a separate set of DRX parameters needs to be designed for NR-U, taking into account the effect of LBT on various traffic models. In addition, during the DRX on-time, the UE should be monitoring the initial signal (or preamble) instead of PDCCH.</w:t>
      </w:r>
    </w:p>
    <w:p w:rsidR="00DF11E6" w:rsidRDefault="00DF11E6" w:rsidP="00391C3B">
      <w:pPr>
        <w:jc w:val="both"/>
      </w:pPr>
      <w:r>
        <w:t>Due to LBT, NR-U traffic tends to be more dynamic as compared to that of NR operating in licensed bands. In such case, we may be forced to increase the on-duration of DRX to achieve the best trade-off between UE power saving and DL transmission efficiency and latency, leading to less UE power saving for NR-U operation. Furthermore, since DRX configurations are semi-static, it is not clear if current DRX framework along could cope with such highly dynamic traffic. One possible solution is to introduce an additional dynamic DL indicator which informs the UE of incoming DL transmission. Specifically, this indicator could be transmitted with a certain periodicity at pre-configured locations known to the UE (similar to paging). Each indicator would inform the UE whether a DL transmission will be scheduled for the following time interval (e.g., the time interval between the current indicator and the next indicator). This is illustrated in</w:t>
      </w:r>
      <w:r w:rsidR="00922E81">
        <w:t xml:space="preserve"> </w:t>
      </w:r>
      <w:r w:rsidR="00922E81">
        <w:fldChar w:fldCharType="begin"/>
      </w:r>
      <w:r w:rsidR="00922E81">
        <w:instrText xml:space="preserve"> REF _Ref535043998 \h </w:instrText>
      </w:r>
      <w:r w:rsidR="00922E81">
        <w:fldChar w:fldCharType="separate"/>
      </w:r>
      <w:r w:rsidR="006D5732">
        <w:t xml:space="preserve">Figure </w:t>
      </w:r>
      <w:r w:rsidR="006D5732">
        <w:rPr>
          <w:noProof/>
        </w:rPr>
        <w:t>2</w:t>
      </w:r>
      <w:r w:rsidR="00922E81">
        <w:fldChar w:fldCharType="end"/>
      </w:r>
      <w:r>
        <w:t>. An UE configured with DRX would then operate as follow:</w:t>
      </w:r>
    </w:p>
    <w:p w:rsidR="00DF11E6" w:rsidRDefault="00DF11E6" w:rsidP="00391C3B">
      <w:pPr>
        <w:pStyle w:val="ListParagraph"/>
        <w:numPr>
          <w:ilvl w:val="0"/>
          <w:numId w:val="34"/>
        </w:numPr>
        <w:spacing w:after="120"/>
        <w:ind w:firstLineChars="0"/>
        <w:contextualSpacing/>
        <w:jc w:val="both"/>
        <w:rPr>
          <w:sz w:val="20"/>
          <w:szCs w:val="20"/>
        </w:rPr>
      </w:pPr>
      <w:r>
        <w:rPr>
          <w:sz w:val="20"/>
          <w:szCs w:val="20"/>
        </w:rPr>
        <w:t>If DL transmission indicator is not present at the pre-configured location, the UE operates according to DRX configuration in the following time interval.</w:t>
      </w:r>
    </w:p>
    <w:p w:rsidR="00DF11E6" w:rsidRDefault="00DF11E6" w:rsidP="00391C3B">
      <w:pPr>
        <w:pStyle w:val="ListParagraph"/>
        <w:numPr>
          <w:ilvl w:val="0"/>
          <w:numId w:val="34"/>
        </w:numPr>
        <w:spacing w:after="120"/>
        <w:ind w:firstLineChars="0"/>
        <w:contextualSpacing/>
        <w:jc w:val="both"/>
        <w:rPr>
          <w:sz w:val="20"/>
          <w:szCs w:val="20"/>
        </w:rPr>
      </w:pPr>
      <w:r>
        <w:rPr>
          <w:sz w:val="20"/>
          <w:szCs w:val="20"/>
        </w:rPr>
        <w:t>If DL transmission indicator is present, and it indicates that a DL transmission is scheduled for the UE in the following time interval, the UE would start to monitor for the initial signal or preamble for DL transmission COT detection.</w:t>
      </w:r>
    </w:p>
    <w:p w:rsidR="00DF11E6" w:rsidRPr="00FD61C1" w:rsidRDefault="00DF11E6" w:rsidP="00391C3B">
      <w:pPr>
        <w:pStyle w:val="ListParagraph"/>
        <w:numPr>
          <w:ilvl w:val="0"/>
          <w:numId w:val="34"/>
        </w:numPr>
        <w:spacing w:after="120"/>
        <w:ind w:firstLineChars="0"/>
        <w:contextualSpacing/>
        <w:jc w:val="both"/>
        <w:rPr>
          <w:sz w:val="20"/>
          <w:szCs w:val="20"/>
        </w:rPr>
      </w:pPr>
      <w:r>
        <w:rPr>
          <w:sz w:val="20"/>
          <w:szCs w:val="20"/>
        </w:rPr>
        <w:t>If DL transmission indicator is present, and it indicates that no DL transmission is scheduled for the UE in the following time interval, the UE would stay inactive within the following time interval, even during the preconfigured DRX on-time.</w:t>
      </w:r>
    </w:p>
    <w:p w:rsidR="00DF11E6" w:rsidRDefault="00DF11E6" w:rsidP="00391C3B">
      <w:pPr>
        <w:jc w:val="both"/>
      </w:pPr>
      <w:r>
        <w:t xml:space="preserve">From gNB’s perspective, the DL transmission indicator enables more flexible resource scheduling, and the overall resource utilization efficiency and latency could be improved. For the UE, the indicator helps to further reduce power consumption since the UE does not need to switch to on-state if no DL data transmission is scheduled. On the other hand, if the indicator informs the UE that DL transmission is to happen in the following time interval, it makes sense for the UE to monitor the initial signal (or preamble) within the time interval to avoid missing the PDSCH due to DRX configuration. This is particularly important for NR-U since transmission opportunities are more difficult to obtain. </w:t>
      </w:r>
    </w:p>
    <w:p w:rsidR="00296E67" w:rsidRDefault="00DF11E6" w:rsidP="00391C3B">
      <w:pPr>
        <w:jc w:val="both"/>
      </w:pPr>
      <w:r>
        <w:t>To avoid extra LBT overhead, the DL transmission indicator could be transmitted with other periodic signals, such as NR-U DRS.</w:t>
      </w:r>
    </w:p>
    <w:p w:rsidR="004A11C3" w:rsidRDefault="002615A0" w:rsidP="002615A0">
      <w:pPr>
        <w:pStyle w:val="Caption"/>
        <w:rPr>
          <w:rFonts w:eastAsia="SimSun"/>
          <w:b w:val="0"/>
          <w:lang w:eastAsia="zh-CN"/>
        </w:rPr>
      </w:pPr>
      <w:bookmarkStart w:id="12" w:name="_Ref535048270"/>
      <w:r>
        <w:t xml:space="preserve">Proposal </w:t>
      </w:r>
      <w:r w:rsidR="0096782A">
        <w:fldChar w:fldCharType="begin"/>
      </w:r>
      <w:r w:rsidR="0096782A">
        <w:instrText xml:space="preserve"> SEQ Proposal \* ARABIC </w:instrText>
      </w:r>
      <w:r w:rsidR="0096782A">
        <w:fldChar w:fldCharType="separate"/>
      </w:r>
      <w:r w:rsidR="006D5732">
        <w:rPr>
          <w:noProof/>
        </w:rPr>
        <w:t>6</w:t>
      </w:r>
      <w:r w:rsidR="0096782A">
        <w:rPr>
          <w:noProof/>
        </w:rPr>
        <w:fldChar w:fldCharType="end"/>
      </w:r>
      <w:r w:rsidR="004A11C3" w:rsidRPr="00782710">
        <w:rPr>
          <w:rFonts w:eastAsia="SimSun"/>
          <w:lang w:eastAsia="zh-CN"/>
        </w:rPr>
        <w:t>:</w:t>
      </w:r>
      <w:r w:rsidR="004A11C3">
        <w:rPr>
          <w:rFonts w:eastAsia="SimSun"/>
          <w:lang w:eastAsia="zh-CN"/>
        </w:rPr>
        <w:t xml:space="preserve"> NR-U supports DL transmission indicator for UE power saving and to avoid missing PDSCH due to DRX. The DL transmission indicator could be transmitted within NR-U DRS to avoid LBT overhead.</w:t>
      </w:r>
      <w:bookmarkEnd w:id="12"/>
    </w:p>
    <w:p w:rsidR="00391C3B" w:rsidRDefault="00391C3B" w:rsidP="00391C3B">
      <w:pPr>
        <w:jc w:val="both"/>
        <w:rPr>
          <w:rFonts w:eastAsia="SimSun"/>
          <w:b/>
          <w:lang w:eastAsia="zh-CN"/>
        </w:rPr>
      </w:pPr>
    </w:p>
    <w:p w:rsidR="00324391" w:rsidRPr="00324391" w:rsidRDefault="00324391" w:rsidP="00324391">
      <w:pPr>
        <w:rPr>
          <w:rFonts w:eastAsia="SimSun"/>
          <w:b/>
          <w:lang w:eastAsia="zh-CN"/>
        </w:rPr>
      </w:pPr>
      <w:r>
        <w:rPr>
          <w:noProof/>
          <w:lang w:eastAsia="zh-TW"/>
        </w:rPr>
        <w:lastRenderedPageBreak/>
        <w:drawing>
          <wp:inline distT="0" distB="0" distL="0" distR="0" wp14:anchorId="48817490" wp14:editId="2961A449">
            <wp:extent cx="6122035" cy="234845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22035" cy="2348457"/>
                    </a:xfrm>
                    <a:prstGeom prst="rect">
                      <a:avLst/>
                    </a:prstGeom>
                    <a:noFill/>
                  </pic:spPr>
                </pic:pic>
              </a:graphicData>
            </a:graphic>
          </wp:inline>
        </w:drawing>
      </w:r>
    </w:p>
    <w:p w:rsidR="004A11C3" w:rsidRPr="00285041" w:rsidRDefault="00922E81" w:rsidP="00285041">
      <w:pPr>
        <w:pStyle w:val="Caption"/>
        <w:jc w:val="center"/>
        <w:rPr>
          <w:bCs/>
        </w:rPr>
      </w:pPr>
      <w:bookmarkStart w:id="13" w:name="_Ref528932448"/>
      <w:bookmarkStart w:id="14" w:name="_Ref535043998"/>
      <w:bookmarkEnd w:id="13"/>
      <w:r>
        <w:t xml:space="preserve">Figure </w:t>
      </w:r>
      <w:r w:rsidR="0096782A">
        <w:fldChar w:fldCharType="begin"/>
      </w:r>
      <w:r w:rsidR="0096782A">
        <w:instrText xml:space="preserve"> SEQ Figure \* ARABIC </w:instrText>
      </w:r>
      <w:r w:rsidR="0096782A">
        <w:fldChar w:fldCharType="separate"/>
      </w:r>
      <w:r w:rsidR="006D5732">
        <w:rPr>
          <w:noProof/>
        </w:rPr>
        <w:t>2</w:t>
      </w:r>
      <w:r w:rsidR="0096782A">
        <w:rPr>
          <w:noProof/>
        </w:rPr>
        <w:fldChar w:fldCharType="end"/>
      </w:r>
      <w:bookmarkEnd w:id="14"/>
      <w:r w:rsidR="004A11C3">
        <w:t>: DRX and DL Transmission Indicator for NR-U operation</w:t>
      </w:r>
    </w:p>
    <w:p w:rsidR="00BE4ADF" w:rsidRPr="00BF32B0" w:rsidRDefault="00BE4ADF" w:rsidP="00BE4ADF">
      <w:pPr>
        <w:pStyle w:val="Heading1"/>
      </w:pPr>
      <w:r>
        <w:t xml:space="preserve">NR-U </w:t>
      </w:r>
      <w:r w:rsidR="00A11513">
        <w:t>PRACH</w:t>
      </w:r>
      <w:r>
        <w:t xml:space="preserve"> Design</w:t>
      </w:r>
    </w:p>
    <w:p w:rsidR="009F7337" w:rsidRDefault="009F7337" w:rsidP="00DF11E6">
      <w:r>
        <w:t xml:space="preserve">There are two ZC lengths supported in NR PRACH. One is 839, a.k.a long sequence, and the other is 139, a.k.a short sequence. For long-sequence based preamble formats, the supported SCSs are </w:t>
      </w:r>
      <w:r w:rsidR="00603090">
        <w:t>1.25 kHz</w:t>
      </w:r>
      <w:r>
        <w:t xml:space="preserve"> and </w:t>
      </w:r>
      <w:r w:rsidR="00603090">
        <w:t>5 kHz</w:t>
      </w:r>
      <w:r>
        <w:t xml:space="preserve">, targeting for large cells and high speed deployments. On the contrary, NR-U is likely to be deployed in relatively small cells and with relatively low mobility. Therefore, it is not required to support long-sequence based NR PRACH preamble formats in NR-U. </w:t>
      </w:r>
    </w:p>
    <w:p w:rsidR="00BE4ADF" w:rsidRPr="004A11C3" w:rsidRDefault="00984F0D" w:rsidP="00984F0D">
      <w:pPr>
        <w:pStyle w:val="Caption"/>
      </w:pPr>
      <w:bookmarkStart w:id="15" w:name="_Ref16928755"/>
      <w:r>
        <w:t xml:space="preserve">Proposal </w:t>
      </w:r>
      <w:r>
        <w:fldChar w:fldCharType="begin"/>
      </w:r>
      <w:r>
        <w:instrText xml:space="preserve"> SEQ Proposal \* ARABIC </w:instrText>
      </w:r>
      <w:r>
        <w:fldChar w:fldCharType="separate"/>
      </w:r>
      <w:r w:rsidR="006D5732">
        <w:rPr>
          <w:noProof/>
        </w:rPr>
        <w:t>7</w:t>
      </w:r>
      <w:r>
        <w:fldChar w:fldCharType="end"/>
      </w:r>
      <w:r>
        <w:t>: Long-sequence (ZC=839) based NR PRACH preamble formats are not supported in NR-U.</w:t>
      </w:r>
      <w:bookmarkEnd w:id="15"/>
      <w:r>
        <w:t xml:space="preserve"> </w:t>
      </w:r>
      <w:r w:rsidR="009F7337">
        <w:t xml:space="preserve">   </w:t>
      </w:r>
    </w:p>
    <w:bookmarkEnd w:id="0"/>
    <w:p w:rsidR="004B78AB" w:rsidRDefault="004B78AB" w:rsidP="004B78AB">
      <w:pPr>
        <w:pStyle w:val="Heading1"/>
        <w:jc w:val="both"/>
        <w:rPr>
          <w:lang w:eastAsia="zh-CN"/>
        </w:rPr>
      </w:pPr>
      <w:r>
        <w:rPr>
          <w:lang w:eastAsia="zh-CN"/>
        </w:rPr>
        <w:t>Conclusion</w:t>
      </w:r>
    </w:p>
    <w:p w:rsidR="00916AC2" w:rsidRDefault="00916AC2" w:rsidP="00916AC2">
      <w:pPr>
        <w:jc w:val="both"/>
        <w:rPr>
          <w:lang w:val="en-GB" w:eastAsia="zh-CN"/>
        </w:rPr>
      </w:pPr>
      <w:r>
        <w:rPr>
          <w:lang w:val="en-GB" w:eastAsia="zh-CN"/>
        </w:rPr>
        <w:t xml:space="preserve">In this contribution, we make the following </w:t>
      </w:r>
      <w:r w:rsidR="006D5732">
        <w:rPr>
          <w:lang w:val="en-GB" w:eastAsia="zh-CN"/>
        </w:rPr>
        <w:t xml:space="preserve">observations and </w:t>
      </w:r>
      <w:r w:rsidR="00AD2750">
        <w:rPr>
          <w:lang w:val="en-GB" w:eastAsia="zh-CN"/>
        </w:rPr>
        <w:t>proposals</w:t>
      </w:r>
      <w:r>
        <w:rPr>
          <w:lang w:val="en-GB" w:eastAsia="zh-CN"/>
        </w:rPr>
        <w:t xml:space="preserve">. </w:t>
      </w:r>
    </w:p>
    <w:p w:rsidR="00285041" w:rsidRDefault="00285041" w:rsidP="00916AC2">
      <w:pPr>
        <w:jc w:val="both"/>
        <w:rPr>
          <w:lang w:val="en-GB" w:eastAsia="zh-CN"/>
        </w:rPr>
      </w:pPr>
      <w:r>
        <w:rPr>
          <w:lang w:val="en-GB" w:eastAsia="zh-CN"/>
        </w:rPr>
        <w:fldChar w:fldCharType="begin"/>
      </w:r>
      <w:r>
        <w:rPr>
          <w:lang w:val="en-GB" w:eastAsia="zh-CN"/>
        </w:rPr>
        <w:instrText xml:space="preserve"> REF _Ref16928687 \h </w:instrText>
      </w:r>
      <w:r>
        <w:rPr>
          <w:lang w:val="en-GB" w:eastAsia="zh-CN"/>
        </w:rPr>
      </w:r>
      <w:r>
        <w:rPr>
          <w:lang w:val="en-GB" w:eastAsia="zh-CN"/>
        </w:rPr>
        <w:fldChar w:fldCharType="separate"/>
      </w:r>
      <w:r>
        <w:t xml:space="preserve">Observation </w:t>
      </w:r>
      <w:r>
        <w:rPr>
          <w:noProof/>
        </w:rPr>
        <w:t>1</w:t>
      </w:r>
      <w:r>
        <w:t xml:space="preserve">: Alt.2 and Alt.3 in Figure </w:t>
      </w:r>
      <w:r>
        <w:rPr>
          <w:noProof/>
        </w:rPr>
        <w:t>1</w:t>
      </w:r>
      <w:r>
        <w:t xml:space="preserve"> are not supported in NR R15.</w:t>
      </w:r>
      <w:r>
        <w:rPr>
          <w:lang w:val="en-GB" w:eastAsia="zh-CN"/>
        </w:rPr>
        <w:fldChar w:fldCharType="end"/>
      </w:r>
    </w:p>
    <w:p w:rsidR="00285041" w:rsidRDefault="00285041" w:rsidP="00916AC2">
      <w:pPr>
        <w:jc w:val="both"/>
        <w:rPr>
          <w:lang w:val="en-GB" w:eastAsia="zh-CN"/>
        </w:rPr>
      </w:pPr>
      <w:r>
        <w:rPr>
          <w:lang w:val="en-GB" w:eastAsia="zh-CN"/>
        </w:rPr>
        <w:fldChar w:fldCharType="begin"/>
      </w:r>
      <w:r>
        <w:rPr>
          <w:lang w:val="en-GB" w:eastAsia="zh-CN"/>
        </w:rPr>
        <w:instrText xml:space="preserve"> REF _Ref7697531 \h </w:instrText>
      </w:r>
      <w:r>
        <w:rPr>
          <w:lang w:val="en-GB" w:eastAsia="zh-CN"/>
        </w:rPr>
      </w:r>
      <w:r>
        <w:rPr>
          <w:lang w:val="en-GB" w:eastAsia="zh-CN"/>
        </w:rPr>
        <w:fldChar w:fldCharType="separate"/>
      </w:r>
      <w:r>
        <w:t xml:space="preserve">Proposal </w:t>
      </w:r>
      <w:r>
        <w:rPr>
          <w:noProof/>
        </w:rPr>
        <w:t>1</w:t>
      </w:r>
      <w:r>
        <w:t>: Support SS/PBCH blocks to be located symbols (2, 3, 4, 5) and (9, 10, 11, 12) in a slot for NR-U. In other words, support Alt2 for SSB positions in a slot.</w:t>
      </w:r>
      <w:r>
        <w:rPr>
          <w:lang w:val="en-GB" w:eastAsia="zh-CN"/>
        </w:rPr>
        <w:fldChar w:fldCharType="end"/>
      </w:r>
    </w:p>
    <w:p w:rsidR="00285041" w:rsidRDefault="00285041" w:rsidP="00916AC2">
      <w:pPr>
        <w:jc w:val="both"/>
        <w:rPr>
          <w:lang w:val="en-GB" w:eastAsia="zh-CN"/>
        </w:rPr>
      </w:pPr>
      <w:r>
        <w:rPr>
          <w:lang w:val="en-GB" w:eastAsia="zh-CN"/>
        </w:rPr>
        <w:fldChar w:fldCharType="begin"/>
      </w:r>
      <w:r>
        <w:rPr>
          <w:lang w:val="en-GB" w:eastAsia="zh-CN"/>
        </w:rPr>
        <w:instrText xml:space="preserve"> REF _Ref7697542 \h </w:instrText>
      </w:r>
      <w:r>
        <w:rPr>
          <w:lang w:val="en-GB" w:eastAsia="zh-CN"/>
        </w:rPr>
      </w:r>
      <w:r>
        <w:rPr>
          <w:lang w:val="en-GB" w:eastAsia="zh-CN"/>
        </w:rPr>
        <w:fldChar w:fldCharType="separate"/>
      </w:r>
      <w:r>
        <w:t xml:space="preserve">Proposal </w:t>
      </w:r>
      <w:r>
        <w:rPr>
          <w:noProof/>
        </w:rPr>
        <w:t>2</w:t>
      </w:r>
      <w:r>
        <w:t>: Similar to NR, NR-U supports that both CORESET and search space configurations for Type-0 PDCCH to be carried by PBCH.</w:t>
      </w:r>
      <w:r>
        <w:rPr>
          <w:lang w:val="en-GB" w:eastAsia="zh-CN"/>
        </w:rPr>
        <w:fldChar w:fldCharType="end"/>
      </w:r>
    </w:p>
    <w:p w:rsidR="00285041" w:rsidRDefault="00285041" w:rsidP="00916AC2">
      <w:pPr>
        <w:jc w:val="both"/>
        <w:rPr>
          <w:lang w:val="en-GB" w:eastAsia="zh-CN"/>
        </w:rPr>
      </w:pPr>
      <w:r>
        <w:rPr>
          <w:lang w:val="en-GB" w:eastAsia="zh-CN"/>
        </w:rPr>
        <w:fldChar w:fldCharType="begin"/>
      </w:r>
      <w:r>
        <w:rPr>
          <w:lang w:val="en-GB" w:eastAsia="zh-CN"/>
        </w:rPr>
        <w:instrText xml:space="preserve"> REF _Ref16919274 \h </w:instrText>
      </w:r>
      <w:r>
        <w:rPr>
          <w:lang w:val="en-GB" w:eastAsia="zh-CN"/>
        </w:rPr>
      </w:r>
      <w:r>
        <w:rPr>
          <w:lang w:val="en-GB" w:eastAsia="zh-CN"/>
        </w:rPr>
        <w:fldChar w:fldCharType="separate"/>
      </w:r>
      <w:r>
        <w:t xml:space="preserve">Proposal </w:t>
      </w:r>
      <w:r>
        <w:rPr>
          <w:noProof/>
        </w:rPr>
        <w:t>3</w:t>
      </w:r>
      <w:r>
        <w:t xml:space="preserve">: </w:t>
      </w:r>
      <w:r w:rsidRPr="0018214F">
        <w:rPr>
          <w:color w:val="000000" w:themeColor="text1"/>
        </w:rPr>
        <w:t>For Type0-PDCCH CORESET configuration, down-select one of the following values for the offset between CORESET#0 and SSB by considering RAN4’s decision on sync raster.</w:t>
      </w:r>
      <w:r>
        <w:rPr>
          <w:lang w:val="en-GB" w:eastAsia="zh-CN"/>
        </w:rPr>
        <w:fldChar w:fldCharType="end"/>
      </w:r>
    </w:p>
    <w:p w:rsidR="00285041" w:rsidRDefault="00285041" w:rsidP="00916AC2">
      <w:pPr>
        <w:jc w:val="both"/>
        <w:rPr>
          <w:lang w:val="en-GB" w:eastAsia="zh-CN"/>
        </w:rPr>
      </w:pPr>
      <w:r>
        <w:rPr>
          <w:lang w:val="en-GB" w:eastAsia="zh-CN"/>
        </w:rPr>
        <w:fldChar w:fldCharType="begin"/>
      </w:r>
      <w:r>
        <w:rPr>
          <w:lang w:val="en-GB" w:eastAsia="zh-CN"/>
        </w:rPr>
        <w:instrText xml:space="preserve"> REF _Ref16919280 \h </w:instrText>
      </w:r>
      <w:r>
        <w:rPr>
          <w:lang w:val="en-GB" w:eastAsia="zh-CN"/>
        </w:rPr>
      </w:r>
      <w:r>
        <w:rPr>
          <w:lang w:val="en-GB" w:eastAsia="zh-CN"/>
        </w:rPr>
        <w:fldChar w:fldCharType="separate"/>
      </w:r>
      <w:r>
        <w:t xml:space="preserve">Proposal </w:t>
      </w:r>
      <w:r>
        <w:rPr>
          <w:noProof/>
        </w:rPr>
        <w:t>4</w:t>
      </w:r>
      <w:r>
        <w:t xml:space="preserve">: Support Table </w:t>
      </w:r>
      <w:r>
        <w:rPr>
          <w:noProof/>
        </w:rPr>
        <w:t>1</w:t>
      </w:r>
      <w:r>
        <w:t xml:space="preserve"> for search configuration for NR-U in FR1.</w:t>
      </w:r>
      <w:r>
        <w:rPr>
          <w:lang w:val="en-GB" w:eastAsia="zh-CN"/>
        </w:rPr>
        <w:fldChar w:fldCharType="end"/>
      </w:r>
    </w:p>
    <w:p w:rsidR="00285041" w:rsidRDefault="00285041" w:rsidP="00916AC2">
      <w:pPr>
        <w:jc w:val="both"/>
        <w:rPr>
          <w:lang w:val="en-GB" w:eastAsia="zh-CN"/>
        </w:rPr>
      </w:pPr>
      <w:r>
        <w:rPr>
          <w:lang w:val="en-GB" w:eastAsia="zh-CN"/>
        </w:rPr>
        <w:fldChar w:fldCharType="begin"/>
      </w:r>
      <w:r>
        <w:rPr>
          <w:lang w:val="en-GB" w:eastAsia="zh-CN"/>
        </w:rPr>
        <w:instrText xml:space="preserve"> REF _Ref16928742 \h </w:instrText>
      </w:r>
      <w:r>
        <w:rPr>
          <w:lang w:val="en-GB" w:eastAsia="zh-CN"/>
        </w:rPr>
      </w:r>
      <w:r>
        <w:rPr>
          <w:lang w:val="en-GB" w:eastAsia="zh-CN"/>
        </w:rPr>
        <w:fldChar w:fldCharType="separate"/>
      </w:r>
      <w:r>
        <w:t xml:space="preserve">Proposal </w:t>
      </w:r>
      <w:r>
        <w:rPr>
          <w:noProof/>
        </w:rPr>
        <w:t>5</w:t>
      </w:r>
      <w:r>
        <w:t>: Rate matching RMSI around SSBs can be considered if RAN4 decides not to place sync raster around the edges of channels.</w:t>
      </w:r>
      <w:r>
        <w:rPr>
          <w:lang w:val="en-GB" w:eastAsia="zh-CN"/>
        </w:rPr>
        <w:fldChar w:fldCharType="end"/>
      </w:r>
    </w:p>
    <w:p w:rsidR="00285041" w:rsidRDefault="00285041" w:rsidP="00916AC2">
      <w:pPr>
        <w:jc w:val="both"/>
        <w:rPr>
          <w:lang w:val="en-GB" w:eastAsia="zh-CN"/>
        </w:rPr>
      </w:pPr>
      <w:r>
        <w:rPr>
          <w:lang w:val="en-GB" w:eastAsia="zh-CN"/>
        </w:rPr>
        <w:fldChar w:fldCharType="begin"/>
      </w:r>
      <w:r>
        <w:rPr>
          <w:lang w:val="en-GB" w:eastAsia="zh-CN"/>
        </w:rPr>
        <w:instrText xml:space="preserve"> REF _Ref535048270 \h </w:instrText>
      </w:r>
      <w:r>
        <w:rPr>
          <w:lang w:val="en-GB" w:eastAsia="zh-CN"/>
        </w:rPr>
      </w:r>
      <w:r>
        <w:rPr>
          <w:lang w:val="en-GB" w:eastAsia="zh-CN"/>
        </w:rPr>
        <w:fldChar w:fldCharType="separate"/>
      </w:r>
      <w:r>
        <w:t xml:space="preserve">Proposal </w:t>
      </w:r>
      <w:r>
        <w:rPr>
          <w:noProof/>
        </w:rPr>
        <w:t>6</w:t>
      </w:r>
      <w:r w:rsidRPr="00782710">
        <w:rPr>
          <w:rFonts w:eastAsia="SimSun"/>
          <w:lang w:eastAsia="zh-CN"/>
        </w:rPr>
        <w:t>:</w:t>
      </w:r>
      <w:r>
        <w:rPr>
          <w:rFonts w:eastAsia="SimSun"/>
          <w:lang w:eastAsia="zh-CN"/>
        </w:rPr>
        <w:t xml:space="preserve"> NR-U supports DL transmission indicator for UE power saving and to avoid missing PDSCH due to DRX. The DL transmission indicator could be transmitted within NR-U DRS to avoid LBT overhead.</w:t>
      </w:r>
      <w:r>
        <w:rPr>
          <w:lang w:val="en-GB" w:eastAsia="zh-CN"/>
        </w:rPr>
        <w:fldChar w:fldCharType="end"/>
      </w:r>
    </w:p>
    <w:p w:rsidR="00285041" w:rsidRDefault="00285041" w:rsidP="00916AC2">
      <w:pPr>
        <w:jc w:val="both"/>
        <w:rPr>
          <w:lang w:val="en-GB" w:eastAsia="zh-CN"/>
        </w:rPr>
      </w:pPr>
      <w:r>
        <w:rPr>
          <w:lang w:val="en-GB" w:eastAsia="zh-CN"/>
        </w:rPr>
        <w:fldChar w:fldCharType="begin"/>
      </w:r>
      <w:r>
        <w:rPr>
          <w:lang w:val="en-GB" w:eastAsia="zh-CN"/>
        </w:rPr>
        <w:instrText xml:space="preserve"> REF _Ref16928755 \h </w:instrText>
      </w:r>
      <w:r>
        <w:rPr>
          <w:lang w:val="en-GB" w:eastAsia="zh-CN"/>
        </w:rPr>
      </w:r>
      <w:r>
        <w:rPr>
          <w:lang w:val="en-GB" w:eastAsia="zh-CN"/>
        </w:rPr>
        <w:fldChar w:fldCharType="separate"/>
      </w:r>
      <w:r>
        <w:t xml:space="preserve">Proposal </w:t>
      </w:r>
      <w:r>
        <w:rPr>
          <w:noProof/>
        </w:rPr>
        <w:t>7</w:t>
      </w:r>
      <w:r>
        <w:t>: Long-sequence (ZC=839) based NR PRACH preamble formats are not supported in NR-U.</w:t>
      </w:r>
      <w:r>
        <w:rPr>
          <w:lang w:val="en-GB" w:eastAsia="zh-CN"/>
        </w:rPr>
        <w:fldChar w:fldCharType="end"/>
      </w:r>
      <w:bookmarkStart w:id="16" w:name="_GoBack"/>
      <w:bookmarkEnd w:id="16"/>
    </w:p>
    <w:p w:rsidR="00830327" w:rsidRPr="00AF360F" w:rsidRDefault="00830327" w:rsidP="00B85260">
      <w:pPr>
        <w:pStyle w:val="Heading1"/>
        <w:jc w:val="both"/>
        <w:rPr>
          <w:lang w:eastAsia="zh-CN"/>
        </w:rPr>
      </w:pPr>
      <w:r>
        <w:rPr>
          <w:lang w:eastAsia="zh-CN"/>
        </w:rPr>
        <w:t>Reference</w:t>
      </w:r>
      <w:r w:rsidR="00F84C6E">
        <w:rPr>
          <w:lang w:eastAsia="zh-CN"/>
        </w:rPr>
        <w:t>s</w:t>
      </w:r>
    </w:p>
    <w:p w:rsidR="00350232" w:rsidRDefault="00350232" w:rsidP="00350232">
      <w:pPr>
        <w:numPr>
          <w:ilvl w:val="0"/>
          <w:numId w:val="35"/>
        </w:numPr>
        <w:overflowPunct/>
        <w:autoSpaceDE/>
        <w:autoSpaceDN/>
        <w:adjustRightInd/>
        <w:spacing w:after="120"/>
        <w:textAlignment w:val="auto"/>
      </w:pPr>
      <w:bookmarkStart w:id="17" w:name="_Ref528853922"/>
      <w:bookmarkStart w:id="18" w:name="_Ref481596356"/>
      <w:bookmarkStart w:id="19" w:name="_Ref481781528"/>
      <w:bookmarkStart w:id="20" w:name="_Ref481782557"/>
      <w:r>
        <w:t>RP-182878, “New WID on NR-based Access to Unlicensed Spectrum”, Qualcomm Inc.</w:t>
      </w:r>
    </w:p>
    <w:p w:rsidR="00350232" w:rsidRDefault="00350232" w:rsidP="00350232">
      <w:pPr>
        <w:numPr>
          <w:ilvl w:val="0"/>
          <w:numId w:val="35"/>
        </w:numPr>
        <w:overflowPunct/>
        <w:autoSpaceDE/>
        <w:autoSpaceDN/>
        <w:adjustRightInd/>
        <w:spacing w:after="120"/>
        <w:textAlignment w:val="auto"/>
      </w:pPr>
      <w:bookmarkStart w:id="21" w:name="_Ref534984474"/>
      <w:r>
        <w:t>TR 38.889, “Study on NR-based Access to Unlicensed Spectrum”, December 2018, V 1.1.0.</w:t>
      </w:r>
      <w:bookmarkEnd w:id="21"/>
    </w:p>
    <w:p w:rsidR="00350232" w:rsidRDefault="00350232" w:rsidP="00350232">
      <w:pPr>
        <w:numPr>
          <w:ilvl w:val="0"/>
          <w:numId w:val="35"/>
        </w:numPr>
        <w:overflowPunct/>
        <w:autoSpaceDE/>
        <w:autoSpaceDN/>
        <w:adjustRightInd/>
        <w:spacing w:after="120"/>
        <w:textAlignment w:val="auto"/>
      </w:pPr>
      <w:bookmarkStart w:id="22" w:name="_Ref528932384"/>
      <w:bookmarkEnd w:id="17"/>
      <w:r>
        <w:t>R1-1812360, “</w:t>
      </w:r>
      <w:r w:rsidRPr="00D0537F">
        <w:t>Evaluation Methodology for UE Power Saving</w:t>
      </w:r>
      <w:r>
        <w:t>”, MediaTek Inc.</w:t>
      </w:r>
      <w:bookmarkEnd w:id="18"/>
      <w:bookmarkEnd w:id="19"/>
      <w:bookmarkEnd w:id="20"/>
      <w:bookmarkEnd w:id="22"/>
    </w:p>
    <w:sectPr w:rsidR="00350232" w:rsidSect="0054620D">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782A" w:rsidRDefault="0096782A">
      <w:r>
        <w:separator/>
      </w:r>
    </w:p>
  </w:endnote>
  <w:endnote w:type="continuationSeparator" w:id="0">
    <w:p w:rsidR="0096782A" w:rsidRDefault="0096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1002AFF" w:usb1="C0000002" w:usb2="00000008"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0859491"/>
      <w:docPartObj>
        <w:docPartGallery w:val="Page Numbers (Bottom of Page)"/>
        <w:docPartUnique/>
      </w:docPartObj>
    </w:sdtPr>
    <w:sdtEndPr/>
    <w:sdtContent>
      <w:sdt>
        <w:sdtPr>
          <w:id w:val="-1705238520"/>
          <w:docPartObj>
            <w:docPartGallery w:val="Page Numbers (Top of Page)"/>
            <w:docPartUnique/>
          </w:docPartObj>
        </w:sdtPr>
        <w:sdtEndPr/>
        <w:sdtContent>
          <w:p w:rsidR="003C01E6" w:rsidRDefault="003C01E6">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603090">
              <w:rPr>
                <w:bCs/>
              </w:rPr>
              <w:t>5</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603090">
              <w:rPr>
                <w:bCs/>
              </w:rPr>
              <w:t>5</w:t>
            </w:r>
            <w:r>
              <w:rPr>
                <w:b w:val="0"/>
                <w:bCs/>
                <w:sz w:val="24"/>
                <w:szCs w:val="24"/>
              </w:rPr>
              <w:fldChar w:fldCharType="end"/>
            </w:r>
          </w:p>
        </w:sdtContent>
      </w:sdt>
    </w:sdtContent>
  </w:sdt>
  <w:p w:rsidR="00316AB5" w:rsidRDefault="00316A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782A" w:rsidRDefault="0096782A">
      <w:r>
        <w:separator/>
      </w:r>
    </w:p>
  </w:footnote>
  <w:footnote w:type="continuationSeparator" w:id="0">
    <w:p w:rsidR="0096782A" w:rsidRDefault="009678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D6E54"/>
    <w:multiLevelType w:val="hybridMultilevel"/>
    <w:tmpl w:val="58AA01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76766"/>
    <w:multiLevelType w:val="hybridMultilevel"/>
    <w:tmpl w:val="00FE7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F253E58"/>
    <w:multiLevelType w:val="hybridMultilevel"/>
    <w:tmpl w:val="C942A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FB04EE"/>
    <w:multiLevelType w:val="hybridMultilevel"/>
    <w:tmpl w:val="BA6EC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BB590A"/>
    <w:multiLevelType w:val="hybridMultilevel"/>
    <w:tmpl w:val="1E38D6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1A026772"/>
    <w:multiLevelType w:val="hybridMultilevel"/>
    <w:tmpl w:val="5FB05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185967"/>
    <w:multiLevelType w:val="multilevel"/>
    <w:tmpl w:val="46EC46F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8CA11A3"/>
    <w:multiLevelType w:val="hybridMultilevel"/>
    <w:tmpl w:val="987C4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7115BD"/>
    <w:multiLevelType w:val="hybridMultilevel"/>
    <w:tmpl w:val="FC90E7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0C660C"/>
    <w:multiLevelType w:val="hybridMultilevel"/>
    <w:tmpl w:val="42D8E79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2105675"/>
    <w:multiLevelType w:val="hybridMultilevel"/>
    <w:tmpl w:val="3F20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FA4A39"/>
    <w:multiLevelType w:val="hybridMultilevel"/>
    <w:tmpl w:val="4126B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5BD350D"/>
    <w:multiLevelType w:val="hybridMultilevel"/>
    <w:tmpl w:val="C01096A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49231797"/>
    <w:multiLevelType w:val="hybridMultilevel"/>
    <w:tmpl w:val="5A8867A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6"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E3F173B"/>
    <w:multiLevelType w:val="hybridMultilevel"/>
    <w:tmpl w:val="CC0EB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B97183"/>
    <w:multiLevelType w:val="hybridMultilevel"/>
    <w:tmpl w:val="EC8C7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9C1ADB"/>
    <w:multiLevelType w:val="hybridMultilevel"/>
    <w:tmpl w:val="16D0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E869DF"/>
    <w:multiLevelType w:val="hybridMultilevel"/>
    <w:tmpl w:val="A0A8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E71E7"/>
    <w:multiLevelType w:val="hybridMultilevel"/>
    <w:tmpl w:val="03342A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E2505C"/>
    <w:multiLevelType w:val="hybridMultilevel"/>
    <w:tmpl w:val="3B18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4"/>
  </w:num>
  <w:num w:numId="3">
    <w:abstractNumId w:val="40"/>
  </w:num>
  <w:num w:numId="4">
    <w:abstractNumId w:val="41"/>
  </w:num>
  <w:num w:numId="5">
    <w:abstractNumId w:val="2"/>
  </w:num>
  <w:num w:numId="6">
    <w:abstractNumId w:val="23"/>
  </w:num>
  <w:num w:numId="7">
    <w:abstractNumId w:val="26"/>
  </w:num>
  <w:num w:numId="8">
    <w:abstractNumId w:val="3"/>
  </w:num>
  <w:num w:numId="9">
    <w:abstractNumId w:val="10"/>
  </w:num>
  <w:num w:numId="10">
    <w:abstractNumId w:val="21"/>
  </w:num>
  <w:num w:numId="11">
    <w:abstractNumId w:val="14"/>
  </w:num>
  <w:num w:numId="12">
    <w:abstractNumId w:val="19"/>
  </w:num>
  <w:num w:numId="13">
    <w:abstractNumId w:val="34"/>
  </w:num>
  <w:num w:numId="14">
    <w:abstractNumId w:val="36"/>
  </w:num>
  <w:num w:numId="15">
    <w:abstractNumId w:val="11"/>
  </w:num>
  <w:num w:numId="16">
    <w:abstractNumId w:val="9"/>
  </w:num>
  <w:num w:numId="17">
    <w:abstractNumId w:val="27"/>
  </w:num>
  <w:num w:numId="18">
    <w:abstractNumId w:val="28"/>
  </w:num>
  <w:num w:numId="19">
    <w:abstractNumId w:val="8"/>
  </w:num>
  <w:num w:numId="20">
    <w:abstractNumId w:val="25"/>
  </w:num>
  <w:num w:numId="21">
    <w:abstractNumId w:val="0"/>
  </w:num>
  <w:num w:numId="22">
    <w:abstractNumId w:val="18"/>
  </w:num>
  <w:num w:numId="23">
    <w:abstractNumId w:val="29"/>
  </w:num>
  <w:num w:numId="24">
    <w:abstractNumId w:val="24"/>
  </w:num>
  <w:num w:numId="25">
    <w:abstractNumId w:val="35"/>
  </w:num>
  <w:num w:numId="26">
    <w:abstractNumId w:val="1"/>
  </w:num>
  <w:num w:numId="27">
    <w:abstractNumId w:val="15"/>
  </w:num>
  <w:num w:numId="28">
    <w:abstractNumId w:val="12"/>
  </w:num>
  <w:num w:numId="29">
    <w:abstractNumId w:val="5"/>
  </w:num>
  <w:num w:numId="30">
    <w:abstractNumId w:val="20"/>
  </w:num>
  <w:num w:numId="31">
    <w:abstractNumId w:val="7"/>
  </w:num>
  <w:num w:numId="32">
    <w:abstractNumId w:val="38"/>
  </w:num>
  <w:num w:numId="33">
    <w:abstractNumId w:val="39"/>
  </w:num>
  <w:num w:numId="34">
    <w:abstractNumId w:val="32"/>
  </w:num>
  <w:num w:numId="35">
    <w:abstractNumId w:val="16"/>
  </w:num>
  <w:num w:numId="36">
    <w:abstractNumId w:val="13"/>
  </w:num>
  <w:num w:numId="37">
    <w:abstractNumId w:val="37"/>
  </w:num>
  <w:num w:numId="38">
    <w:abstractNumId w:val="33"/>
  </w:num>
  <w:num w:numId="39">
    <w:abstractNumId w:val="31"/>
  </w:num>
  <w:num w:numId="40">
    <w:abstractNumId w:val="17"/>
  </w:num>
  <w:num w:numId="41">
    <w:abstractNumId w:val="30"/>
  </w:num>
  <w:num w:numId="42">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C0"/>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D3"/>
    <w:rsid w:val="0001056A"/>
    <w:rsid w:val="00010B04"/>
    <w:rsid w:val="00010DFD"/>
    <w:rsid w:val="000110CA"/>
    <w:rsid w:val="000110D3"/>
    <w:rsid w:val="00011214"/>
    <w:rsid w:val="0001189F"/>
    <w:rsid w:val="000118F6"/>
    <w:rsid w:val="00011A60"/>
    <w:rsid w:val="00011BA5"/>
    <w:rsid w:val="00012092"/>
    <w:rsid w:val="000121FF"/>
    <w:rsid w:val="00012D26"/>
    <w:rsid w:val="00012F72"/>
    <w:rsid w:val="00013171"/>
    <w:rsid w:val="000132ED"/>
    <w:rsid w:val="00013B65"/>
    <w:rsid w:val="00013CB8"/>
    <w:rsid w:val="00013CF8"/>
    <w:rsid w:val="00013D6C"/>
    <w:rsid w:val="00013D80"/>
    <w:rsid w:val="0001463C"/>
    <w:rsid w:val="00014972"/>
    <w:rsid w:val="00014EAB"/>
    <w:rsid w:val="00015330"/>
    <w:rsid w:val="0001565F"/>
    <w:rsid w:val="00015CB6"/>
    <w:rsid w:val="0001604C"/>
    <w:rsid w:val="0001604D"/>
    <w:rsid w:val="000166C7"/>
    <w:rsid w:val="0001688F"/>
    <w:rsid w:val="0001695C"/>
    <w:rsid w:val="00016FFF"/>
    <w:rsid w:val="0001701A"/>
    <w:rsid w:val="000170F9"/>
    <w:rsid w:val="00017186"/>
    <w:rsid w:val="000174BC"/>
    <w:rsid w:val="00017B39"/>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317"/>
    <w:rsid w:val="0003058F"/>
    <w:rsid w:val="00030EEF"/>
    <w:rsid w:val="00030FDE"/>
    <w:rsid w:val="0003122C"/>
    <w:rsid w:val="00031567"/>
    <w:rsid w:val="000316DD"/>
    <w:rsid w:val="000319EE"/>
    <w:rsid w:val="00031FF9"/>
    <w:rsid w:val="0003217E"/>
    <w:rsid w:val="00032504"/>
    <w:rsid w:val="00032AB8"/>
    <w:rsid w:val="00032D94"/>
    <w:rsid w:val="00032FA4"/>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B13"/>
    <w:rsid w:val="00036C48"/>
    <w:rsid w:val="00036F89"/>
    <w:rsid w:val="00036FF0"/>
    <w:rsid w:val="0003706B"/>
    <w:rsid w:val="000373B4"/>
    <w:rsid w:val="0003798A"/>
    <w:rsid w:val="00037B33"/>
    <w:rsid w:val="00040265"/>
    <w:rsid w:val="00040386"/>
    <w:rsid w:val="000405C5"/>
    <w:rsid w:val="000405EB"/>
    <w:rsid w:val="0004072F"/>
    <w:rsid w:val="00040B64"/>
    <w:rsid w:val="00040BD9"/>
    <w:rsid w:val="0004101D"/>
    <w:rsid w:val="0004127F"/>
    <w:rsid w:val="000413E4"/>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7B2"/>
    <w:rsid w:val="000468A5"/>
    <w:rsid w:val="00046E02"/>
    <w:rsid w:val="000473EF"/>
    <w:rsid w:val="00047410"/>
    <w:rsid w:val="00047564"/>
    <w:rsid w:val="00047976"/>
    <w:rsid w:val="00047A86"/>
    <w:rsid w:val="00047D2B"/>
    <w:rsid w:val="00047FDD"/>
    <w:rsid w:val="000502EF"/>
    <w:rsid w:val="0005040F"/>
    <w:rsid w:val="000504EB"/>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4D34"/>
    <w:rsid w:val="00055062"/>
    <w:rsid w:val="00055162"/>
    <w:rsid w:val="000552C6"/>
    <w:rsid w:val="00055816"/>
    <w:rsid w:val="00055B2F"/>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83"/>
    <w:rsid w:val="00057FD0"/>
    <w:rsid w:val="00060281"/>
    <w:rsid w:val="00060469"/>
    <w:rsid w:val="000606CD"/>
    <w:rsid w:val="00060773"/>
    <w:rsid w:val="00060842"/>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B34"/>
    <w:rsid w:val="00064EDD"/>
    <w:rsid w:val="000653EC"/>
    <w:rsid w:val="00065413"/>
    <w:rsid w:val="000655EF"/>
    <w:rsid w:val="00065731"/>
    <w:rsid w:val="00065966"/>
    <w:rsid w:val="00065DE1"/>
    <w:rsid w:val="00066182"/>
    <w:rsid w:val="000666AD"/>
    <w:rsid w:val="00066BCF"/>
    <w:rsid w:val="00066BFD"/>
    <w:rsid w:val="00066F21"/>
    <w:rsid w:val="00066F7C"/>
    <w:rsid w:val="0006751D"/>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7D0"/>
    <w:rsid w:val="00072808"/>
    <w:rsid w:val="00072EBC"/>
    <w:rsid w:val="00072EDF"/>
    <w:rsid w:val="00072FD4"/>
    <w:rsid w:val="0007314E"/>
    <w:rsid w:val="000735A4"/>
    <w:rsid w:val="000737BB"/>
    <w:rsid w:val="00073912"/>
    <w:rsid w:val="00073BBC"/>
    <w:rsid w:val="00073C97"/>
    <w:rsid w:val="00073DF6"/>
    <w:rsid w:val="00073E5B"/>
    <w:rsid w:val="00073F02"/>
    <w:rsid w:val="00073F25"/>
    <w:rsid w:val="0007420C"/>
    <w:rsid w:val="00074412"/>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D53"/>
    <w:rsid w:val="00076E9F"/>
    <w:rsid w:val="000772A1"/>
    <w:rsid w:val="000772B6"/>
    <w:rsid w:val="000773DC"/>
    <w:rsid w:val="00077763"/>
    <w:rsid w:val="000777B5"/>
    <w:rsid w:val="00077AB4"/>
    <w:rsid w:val="00077E1E"/>
    <w:rsid w:val="00077EBA"/>
    <w:rsid w:val="00077FB5"/>
    <w:rsid w:val="0008023D"/>
    <w:rsid w:val="000803FA"/>
    <w:rsid w:val="00080476"/>
    <w:rsid w:val="00080540"/>
    <w:rsid w:val="00080BA3"/>
    <w:rsid w:val="00080E6D"/>
    <w:rsid w:val="00081103"/>
    <w:rsid w:val="00081C37"/>
    <w:rsid w:val="000822E1"/>
    <w:rsid w:val="00082422"/>
    <w:rsid w:val="00082713"/>
    <w:rsid w:val="00082B1E"/>
    <w:rsid w:val="00083024"/>
    <w:rsid w:val="000832CF"/>
    <w:rsid w:val="00083356"/>
    <w:rsid w:val="00083360"/>
    <w:rsid w:val="000834FD"/>
    <w:rsid w:val="0008354F"/>
    <w:rsid w:val="00083842"/>
    <w:rsid w:val="000839A9"/>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A4E"/>
    <w:rsid w:val="00086B96"/>
    <w:rsid w:val="00086FFF"/>
    <w:rsid w:val="0008719B"/>
    <w:rsid w:val="00087392"/>
    <w:rsid w:val="000874E0"/>
    <w:rsid w:val="000875DD"/>
    <w:rsid w:val="000875E7"/>
    <w:rsid w:val="00087A63"/>
    <w:rsid w:val="00087B8E"/>
    <w:rsid w:val="00087C00"/>
    <w:rsid w:val="00087EDD"/>
    <w:rsid w:val="00087F8F"/>
    <w:rsid w:val="0009007E"/>
    <w:rsid w:val="00090F74"/>
    <w:rsid w:val="0009106A"/>
    <w:rsid w:val="000910BF"/>
    <w:rsid w:val="000910F4"/>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AD5"/>
    <w:rsid w:val="00094F8E"/>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46"/>
    <w:rsid w:val="00096DB0"/>
    <w:rsid w:val="00096FDA"/>
    <w:rsid w:val="0009702F"/>
    <w:rsid w:val="0009710E"/>
    <w:rsid w:val="0009762D"/>
    <w:rsid w:val="0009763A"/>
    <w:rsid w:val="00097964"/>
    <w:rsid w:val="00097992"/>
    <w:rsid w:val="00097A6C"/>
    <w:rsid w:val="00097CA2"/>
    <w:rsid w:val="00097F7A"/>
    <w:rsid w:val="00097FD1"/>
    <w:rsid w:val="000A01BF"/>
    <w:rsid w:val="000A02A5"/>
    <w:rsid w:val="000A05C9"/>
    <w:rsid w:val="000A07C5"/>
    <w:rsid w:val="000A092B"/>
    <w:rsid w:val="000A10EB"/>
    <w:rsid w:val="000A15B9"/>
    <w:rsid w:val="000A1E7B"/>
    <w:rsid w:val="000A21D8"/>
    <w:rsid w:val="000A2725"/>
    <w:rsid w:val="000A2D64"/>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4AE"/>
    <w:rsid w:val="000A455A"/>
    <w:rsid w:val="000A477F"/>
    <w:rsid w:val="000A48CF"/>
    <w:rsid w:val="000A49BF"/>
    <w:rsid w:val="000A4AE3"/>
    <w:rsid w:val="000A4C5A"/>
    <w:rsid w:val="000A4DB5"/>
    <w:rsid w:val="000A4F59"/>
    <w:rsid w:val="000A4FFB"/>
    <w:rsid w:val="000A53F1"/>
    <w:rsid w:val="000A562D"/>
    <w:rsid w:val="000A58F0"/>
    <w:rsid w:val="000A689E"/>
    <w:rsid w:val="000A6A8D"/>
    <w:rsid w:val="000A6B16"/>
    <w:rsid w:val="000A6CBD"/>
    <w:rsid w:val="000A6D65"/>
    <w:rsid w:val="000A6F5D"/>
    <w:rsid w:val="000A72B2"/>
    <w:rsid w:val="000A74A4"/>
    <w:rsid w:val="000A7FE1"/>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749"/>
    <w:rsid w:val="000B6808"/>
    <w:rsid w:val="000B6BF0"/>
    <w:rsid w:val="000B6DD5"/>
    <w:rsid w:val="000B6EB4"/>
    <w:rsid w:val="000B746F"/>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E21"/>
    <w:rsid w:val="000C2EA1"/>
    <w:rsid w:val="000C3095"/>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6C"/>
    <w:rsid w:val="000D32E9"/>
    <w:rsid w:val="000D39B7"/>
    <w:rsid w:val="000D3A88"/>
    <w:rsid w:val="000D3ADE"/>
    <w:rsid w:val="000D3B23"/>
    <w:rsid w:val="000D3D23"/>
    <w:rsid w:val="000D3FA1"/>
    <w:rsid w:val="000D4138"/>
    <w:rsid w:val="000D468C"/>
    <w:rsid w:val="000D4770"/>
    <w:rsid w:val="000D4B0E"/>
    <w:rsid w:val="000D4E77"/>
    <w:rsid w:val="000D4EA6"/>
    <w:rsid w:val="000D54DF"/>
    <w:rsid w:val="000D54F6"/>
    <w:rsid w:val="000D56F0"/>
    <w:rsid w:val="000D5A1A"/>
    <w:rsid w:val="000D6219"/>
    <w:rsid w:val="000D66A0"/>
    <w:rsid w:val="000D6886"/>
    <w:rsid w:val="000D6940"/>
    <w:rsid w:val="000D6BD5"/>
    <w:rsid w:val="000D7139"/>
    <w:rsid w:val="000D722A"/>
    <w:rsid w:val="000D75A8"/>
    <w:rsid w:val="000D7816"/>
    <w:rsid w:val="000D7C8A"/>
    <w:rsid w:val="000D7F7B"/>
    <w:rsid w:val="000E0241"/>
    <w:rsid w:val="000E02A8"/>
    <w:rsid w:val="000E02F8"/>
    <w:rsid w:val="000E07E6"/>
    <w:rsid w:val="000E0CA4"/>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456"/>
    <w:rsid w:val="000E263D"/>
    <w:rsid w:val="000E2B0F"/>
    <w:rsid w:val="000E2B5B"/>
    <w:rsid w:val="000E2F14"/>
    <w:rsid w:val="000E301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F010C"/>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2E00"/>
    <w:rsid w:val="000F30B8"/>
    <w:rsid w:val="000F383D"/>
    <w:rsid w:val="000F3F70"/>
    <w:rsid w:val="000F3FDD"/>
    <w:rsid w:val="000F405F"/>
    <w:rsid w:val="000F40A4"/>
    <w:rsid w:val="000F4151"/>
    <w:rsid w:val="000F446E"/>
    <w:rsid w:val="000F48E1"/>
    <w:rsid w:val="000F4A04"/>
    <w:rsid w:val="000F4EAA"/>
    <w:rsid w:val="000F5047"/>
    <w:rsid w:val="000F50FA"/>
    <w:rsid w:val="000F550A"/>
    <w:rsid w:val="000F59C0"/>
    <w:rsid w:val="000F5EE5"/>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FE"/>
    <w:rsid w:val="001058AA"/>
    <w:rsid w:val="00105D06"/>
    <w:rsid w:val="00105D36"/>
    <w:rsid w:val="00105E3E"/>
    <w:rsid w:val="0010634F"/>
    <w:rsid w:val="00106509"/>
    <w:rsid w:val="00106657"/>
    <w:rsid w:val="00106BB1"/>
    <w:rsid w:val="00106C56"/>
    <w:rsid w:val="00107113"/>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50"/>
    <w:rsid w:val="00113EC2"/>
    <w:rsid w:val="00114334"/>
    <w:rsid w:val="00114477"/>
    <w:rsid w:val="001147F0"/>
    <w:rsid w:val="0011481F"/>
    <w:rsid w:val="00114918"/>
    <w:rsid w:val="00114EB0"/>
    <w:rsid w:val="00115181"/>
    <w:rsid w:val="001155C7"/>
    <w:rsid w:val="00115CA3"/>
    <w:rsid w:val="00115D6C"/>
    <w:rsid w:val="00115F06"/>
    <w:rsid w:val="0011620F"/>
    <w:rsid w:val="00116241"/>
    <w:rsid w:val="00116832"/>
    <w:rsid w:val="00116BE1"/>
    <w:rsid w:val="00116F58"/>
    <w:rsid w:val="00117242"/>
    <w:rsid w:val="00117B42"/>
    <w:rsid w:val="00117E84"/>
    <w:rsid w:val="00117EA1"/>
    <w:rsid w:val="001207E5"/>
    <w:rsid w:val="00120B19"/>
    <w:rsid w:val="001210BE"/>
    <w:rsid w:val="00121432"/>
    <w:rsid w:val="00121CA2"/>
    <w:rsid w:val="00121E49"/>
    <w:rsid w:val="0012223E"/>
    <w:rsid w:val="0012227B"/>
    <w:rsid w:val="00122304"/>
    <w:rsid w:val="00122487"/>
    <w:rsid w:val="001227E7"/>
    <w:rsid w:val="00122A69"/>
    <w:rsid w:val="00122D87"/>
    <w:rsid w:val="00122DB1"/>
    <w:rsid w:val="0012307D"/>
    <w:rsid w:val="00123091"/>
    <w:rsid w:val="001236D2"/>
    <w:rsid w:val="00123A36"/>
    <w:rsid w:val="00123CE3"/>
    <w:rsid w:val="00123D78"/>
    <w:rsid w:val="00123E30"/>
    <w:rsid w:val="00123E62"/>
    <w:rsid w:val="00123F8E"/>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A86"/>
    <w:rsid w:val="00131C81"/>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838"/>
    <w:rsid w:val="0013495E"/>
    <w:rsid w:val="00135536"/>
    <w:rsid w:val="0013578A"/>
    <w:rsid w:val="00135B09"/>
    <w:rsid w:val="00135B2C"/>
    <w:rsid w:val="00136340"/>
    <w:rsid w:val="001364D5"/>
    <w:rsid w:val="0013680E"/>
    <w:rsid w:val="0013686E"/>
    <w:rsid w:val="00136AFB"/>
    <w:rsid w:val="00136FD2"/>
    <w:rsid w:val="001375B9"/>
    <w:rsid w:val="00137B99"/>
    <w:rsid w:val="00137E1A"/>
    <w:rsid w:val="00137EBD"/>
    <w:rsid w:val="00140179"/>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3CA7"/>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F19"/>
    <w:rsid w:val="00155F1C"/>
    <w:rsid w:val="001560C7"/>
    <w:rsid w:val="0015641F"/>
    <w:rsid w:val="001564C3"/>
    <w:rsid w:val="001565B9"/>
    <w:rsid w:val="0015661A"/>
    <w:rsid w:val="00156B93"/>
    <w:rsid w:val="00156D9F"/>
    <w:rsid w:val="00156E35"/>
    <w:rsid w:val="00156EE5"/>
    <w:rsid w:val="00157372"/>
    <w:rsid w:val="001573D2"/>
    <w:rsid w:val="001574C7"/>
    <w:rsid w:val="001575F0"/>
    <w:rsid w:val="0015763A"/>
    <w:rsid w:val="00157755"/>
    <w:rsid w:val="00157BF2"/>
    <w:rsid w:val="00157BFB"/>
    <w:rsid w:val="00157D4A"/>
    <w:rsid w:val="0016006A"/>
    <w:rsid w:val="0016044E"/>
    <w:rsid w:val="001605C4"/>
    <w:rsid w:val="00160DF5"/>
    <w:rsid w:val="00160EEA"/>
    <w:rsid w:val="00160F52"/>
    <w:rsid w:val="00161131"/>
    <w:rsid w:val="00161267"/>
    <w:rsid w:val="001613C5"/>
    <w:rsid w:val="001613F4"/>
    <w:rsid w:val="001618DF"/>
    <w:rsid w:val="0016244C"/>
    <w:rsid w:val="001625FE"/>
    <w:rsid w:val="0016271A"/>
    <w:rsid w:val="0016276E"/>
    <w:rsid w:val="00162CB7"/>
    <w:rsid w:val="00162F81"/>
    <w:rsid w:val="0016335C"/>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227"/>
    <w:rsid w:val="00166925"/>
    <w:rsid w:val="00166C83"/>
    <w:rsid w:val="00166ED1"/>
    <w:rsid w:val="00167466"/>
    <w:rsid w:val="00167915"/>
    <w:rsid w:val="001679FD"/>
    <w:rsid w:val="00167BA5"/>
    <w:rsid w:val="00167F21"/>
    <w:rsid w:val="00167FB9"/>
    <w:rsid w:val="00170695"/>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C95"/>
    <w:rsid w:val="00171F68"/>
    <w:rsid w:val="001720CF"/>
    <w:rsid w:val="00172AA1"/>
    <w:rsid w:val="00172DF1"/>
    <w:rsid w:val="00173709"/>
    <w:rsid w:val="00173956"/>
    <w:rsid w:val="0017426D"/>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1FE1"/>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1C5"/>
    <w:rsid w:val="001862E8"/>
    <w:rsid w:val="00186389"/>
    <w:rsid w:val="001870F4"/>
    <w:rsid w:val="001872B4"/>
    <w:rsid w:val="00187334"/>
    <w:rsid w:val="0018761E"/>
    <w:rsid w:val="0018793A"/>
    <w:rsid w:val="00187AED"/>
    <w:rsid w:val="00187D20"/>
    <w:rsid w:val="001900FA"/>
    <w:rsid w:val="001902BF"/>
    <w:rsid w:val="001906B3"/>
    <w:rsid w:val="001908BE"/>
    <w:rsid w:val="0019097A"/>
    <w:rsid w:val="001913BA"/>
    <w:rsid w:val="00191430"/>
    <w:rsid w:val="0019143F"/>
    <w:rsid w:val="0019192B"/>
    <w:rsid w:val="00191D27"/>
    <w:rsid w:val="00192184"/>
    <w:rsid w:val="00192228"/>
    <w:rsid w:val="0019227A"/>
    <w:rsid w:val="0019264E"/>
    <w:rsid w:val="00192765"/>
    <w:rsid w:val="00192868"/>
    <w:rsid w:val="00192873"/>
    <w:rsid w:val="00192881"/>
    <w:rsid w:val="00192942"/>
    <w:rsid w:val="00192C6B"/>
    <w:rsid w:val="00193539"/>
    <w:rsid w:val="00194775"/>
    <w:rsid w:val="00194A6C"/>
    <w:rsid w:val="00194C56"/>
    <w:rsid w:val="00195650"/>
    <w:rsid w:val="00195759"/>
    <w:rsid w:val="00195767"/>
    <w:rsid w:val="001957D2"/>
    <w:rsid w:val="00195BDF"/>
    <w:rsid w:val="00195E36"/>
    <w:rsid w:val="00196315"/>
    <w:rsid w:val="001963E4"/>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4BB7"/>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511A"/>
    <w:rsid w:val="001B5125"/>
    <w:rsid w:val="001B56D0"/>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154"/>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EFC"/>
    <w:rsid w:val="001C5F62"/>
    <w:rsid w:val="001C612F"/>
    <w:rsid w:val="001C6466"/>
    <w:rsid w:val="001C65C4"/>
    <w:rsid w:val="001C6AF5"/>
    <w:rsid w:val="001C6FB6"/>
    <w:rsid w:val="001C72FA"/>
    <w:rsid w:val="001C761A"/>
    <w:rsid w:val="001C77BD"/>
    <w:rsid w:val="001C794D"/>
    <w:rsid w:val="001C7A09"/>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18D"/>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5927"/>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D7F9F"/>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5F4E"/>
    <w:rsid w:val="001E6065"/>
    <w:rsid w:val="001E6078"/>
    <w:rsid w:val="001E62B6"/>
    <w:rsid w:val="001E6312"/>
    <w:rsid w:val="001E634A"/>
    <w:rsid w:val="001E63B8"/>
    <w:rsid w:val="001E69F0"/>
    <w:rsid w:val="001E6D45"/>
    <w:rsid w:val="001E6EDF"/>
    <w:rsid w:val="001E706F"/>
    <w:rsid w:val="001E7450"/>
    <w:rsid w:val="001E77E5"/>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DEB"/>
    <w:rsid w:val="001F2ECB"/>
    <w:rsid w:val="001F31A1"/>
    <w:rsid w:val="001F334E"/>
    <w:rsid w:val="001F374B"/>
    <w:rsid w:val="001F3A44"/>
    <w:rsid w:val="001F3BDF"/>
    <w:rsid w:val="001F3FE4"/>
    <w:rsid w:val="001F41A2"/>
    <w:rsid w:val="001F4480"/>
    <w:rsid w:val="001F46A0"/>
    <w:rsid w:val="001F47B3"/>
    <w:rsid w:val="001F4AED"/>
    <w:rsid w:val="001F4C55"/>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1B8"/>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A14"/>
    <w:rsid w:val="00215B16"/>
    <w:rsid w:val="00216915"/>
    <w:rsid w:val="00216DA6"/>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CD4"/>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275"/>
    <w:rsid w:val="002263AA"/>
    <w:rsid w:val="00226616"/>
    <w:rsid w:val="00226774"/>
    <w:rsid w:val="00226AF5"/>
    <w:rsid w:val="00226B5D"/>
    <w:rsid w:val="00226E31"/>
    <w:rsid w:val="00226F31"/>
    <w:rsid w:val="00226FD5"/>
    <w:rsid w:val="002272A3"/>
    <w:rsid w:val="002275B6"/>
    <w:rsid w:val="002277A5"/>
    <w:rsid w:val="00227AE5"/>
    <w:rsid w:val="00227DAD"/>
    <w:rsid w:val="00227FCC"/>
    <w:rsid w:val="00230025"/>
    <w:rsid w:val="00230383"/>
    <w:rsid w:val="0023049E"/>
    <w:rsid w:val="0023059E"/>
    <w:rsid w:val="002305F5"/>
    <w:rsid w:val="00230899"/>
    <w:rsid w:val="00231380"/>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BD8"/>
    <w:rsid w:val="00242F17"/>
    <w:rsid w:val="002430EC"/>
    <w:rsid w:val="0024335F"/>
    <w:rsid w:val="002434AF"/>
    <w:rsid w:val="002436BC"/>
    <w:rsid w:val="002439D2"/>
    <w:rsid w:val="00243BC1"/>
    <w:rsid w:val="00243CAA"/>
    <w:rsid w:val="002440A9"/>
    <w:rsid w:val="002441B2"/>
    <w:rsid w:val="002442FB"/>
    <w:rsid w:val="00244332"/>
    <w:rsid w:val="002443EC"/>
    <w:rsid w:val="00244437"/>
    <w:rsid w:val="00244653"/>
    <w:rsid w:val="002447E0"/>
    <w:rsid w:val="002447E8"/>
    <w:rsid w:val="00244A27"/>
    <w:rsid w:val="00244A72"/>
    <w:rsid w:val="00244EFE"/>
    <w:rsid w:val="00245492"/>
    <w:rsid w:val="00245B23"/>
    <w:rsid w:val="00245DF3"/>
    <w:rsid w:val="00245E82"/>
    <w:rsid w:val="0024600E"/>
    <w:rsid w:val="002468C2"/>
    <w:rsid w:val="002469BB"/>
    <w:rsid w:val="00246B2E"/>
    <w:rsid w:val="00246B34"/>
    <w:rsid w:val="00246BD0"/>
    <w:rsid w:val="00246CBC"/>
    <w:rsid w:val="00246CC3"/>
    <w:rsid w:val="00246DE8"/>
    <w:rsid w:val="00246FB3"/>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93E"/>
    <w:rsid w:val="0025216C"/>
    <w:rsid w:val="00252198"/>
    <w:rsid w:val="0025228F"/>
    <w:rsid w:val="002522B8"/>
    <w:rsid w:val="0025271B"/>
    <w:rsid w:val="0025284F"/>
    <w:rsid w:val="002528D0"/>
    <w:rsid w:val="0025293D"/>
    <w:rsid w:val="00252CA8"/>
    <w:rsid w:val="00252FD0"/>
    <w:rsid w:val="002530BE"/>
    <w:rsid w:val="0025372A"/>
    <w:rsid w:val="00253B42"/>
    <w:rsid w:val="00253C17"/>
    <w:rsid w:val="0025455B"/>
    <w:rsid w:val="00254902"/>
    <w:rsid w:val="00254A2D"/>
    <w:rsid w:val="00254C39"/>
    <w:rsid w:val="002551CA"/>
    <w:rsid w:val="00255ABB"/>
    <w:rsid w:val="00255C8F"/>
    <w:rsid w:val="00255EC1"/>
    <w:rsid w:val="002562B8"/>
    <w:rsid w:val="0025685F"/>
    <w:rsid w:val="00256A0F"/>
    <w:rsid w:val="00257186"/>
    <w:rsid w:val="00257195"/>
    <w:rsid w:val="002571DD"/>
    <w:rsid w:val="002574A8"/>
    <w:rsid w:val="00257569"/>
    <w:rsid w:val="00257822"/>
    <w:rsid w:val="002578D8"/>
    <w:rsid w:val="00257975"/>
    <w:rsid w:val="00257A0C"/>
    <w:rsid w:val="00257DF3"/>
    <w:rsid w:val="00260856"/>
    <w:rsid w:val="00260902"/>
    <w:rsid w:val="0026092B"/>
    <w:rsid w:val="00260B73"/>
    <w:rsid w:val="00260DAA"/>
    <w:rsid w:val="00260E1D"/>
    <w:rsid w:val="002613A5"/>
    <w:rsid w:val="00261568"/>
    <w:rsid w:val="002615A0"/>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881"/>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1A77"/>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CEC"/>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77F1A"/>
    <w:rsid w:val="0028009C"/>
    <w:rsid w:val="0028016D"/>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AC5"/>
    <w:rsid w:val="00284DC3"/>
    <w:rsid w:val="0028502F"/>
    <w:rsid w:val="00285041"/>
    <w:rsid w:val="002851BA"/>
    <w:rsid w:val="002854EB"/>
    <w:rsid w:val="00285749"/>
    <w:rsid w:val="00285CD2"/>
    <w:rsid w:val="00286675"/>
    <w:rsid w:val="002866EC"/>
    <w:rsid w:val="0028675B"/>
    <w:rsid w:val="002869FD"/>
    <w:rsid w:val="00286D92"/>
    <w:rsid w:val="00286E5A"/>
    <w:rsid w:val="0028702E"/>
    <w:rsid w:val="0028712F"/>
    <w:rsid w:val="0028733D"/>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98A"/>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6E67"/>
    <w:rsid w:val="00297707"/>
    <w:rsid w:val="00297A0D"/>
    <w:rsid w:val="00297A8D"/>
    <w:rsid w:val="00297BF2"/>
    <w:rsid w:val="00297EAF"/>
    <w:rsid w:val="00297EB7"/>
    <w:rsid w:val="00297F9B"/>
    <w:rsid w:val="002A0158"/>
    <w:rsid w:val="002A03B4"/>
    <w:rsid w:val="002A0544"/>
    <w:rsid w:val="002A0D8A"/>
    <w:rsid w:val="002A16BB"/>
    <w:rsid w:val="002A1857"/>
    <w:rsid w:val="002A19B4"/>
    <w:rsid w:val="002A1AAF"/>
    <w:rsid w:val="002A23CD"/>
    <w:rsid w:val="002A3079"/>
    <w:rsid w:val="002A3462"/>
    <w:rsid w:val="002A349C"/>
    <w:rsid w:val="002A36EC"/>
    <w:rsid w:val="002A370A"/>
    <w:rsid w:val="002A37B3"/>
    <w:rsid w:val="002A3811"/>
    <w:rsid w:val="002A3934"/>
    <w:rsid w:val="002A3C9B"/>
    <w:rsid w:val="002A3DF7"/>
    <w:rsid w:val="002A4008"/>
    <w:rsid w:val="002A4736"/>
    <w:rsid w:val="002A485B"/>
    <w:rsid w:val="002A48BA"/>
    <w:rsid w:val="002A4CD5"/>
    <w:rsid w:val="002A50A7"/>
    <w:rsid w:val="002A54D4"/>
    <w:rsid w:val="002A554E"/>
    <w:rsid w:val="002A56B3"/>
    <w:rsid w:val="002A57BD"/>
    <w:rsid w:val="002A58DE"/>
    <w:rsid w:val="002A5B66"/>
    <w:rsid w:val="002A5C1C"/>
    <w:rsid w:val="002A5F58"/>
    <w:rsid w:val="002A622D"/>
    <w:rsid w:val="002A634B"/>
    <w:rsid w:val="002A65F4"/>
    <w:rsid w:val="002A69D2"/>
    <w:rsid w:val="002A6FBE"/>
    <w:rsid w:val="002A733C"/>
    <w:rsid w:val="002A73EA"/>
    <w:rsid w:val="002A74ED"/>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8AC"/>
    <w:rsid w:val="002B4A60"/>
    <w:rsid w:val="002B4A9F"/>
    <w:rsid w:val="002B4ACC"/>
    <w:rsid w:val="002B5338"/>
    <w:rsid w:val="002B5471"/>
    <w:rsid w:val="002B565A"/>
    <w:rsid w:val="002B59FE"/>
    <w:rsid w:val="002B5A46"/>
    <w:rsid w:val="002B5A6B"/>
    <w:rsid w:val="002B5AC0"/>
    <w:rsid w:val="002B5C78"/>
    <w:rsid w:val="002B5CBC"/>
    <w:rsid w:val="002B5DBA"/>
    <w:rsid w:val="002B689A"/>
    <w:rsid w:val="002B7222"/>
    <w:rsid w:val="002B76F2"/>
    <w:rsid w:val="002B7766"/>
    <w:rsid w:val="002B7793"/>
    <w:rsid w:val="002B7869"/>
    <w:rsid w:val="002B7905"/>
    <w:rsid w:val="002B793F"/>
    <w:rsid w:val="002B7FB4"/>
    <w:rsid w:val="002C0201"/>
    <w:rsid w:val="002C0227"/>
    <w:rsid w:val="002C0525"/>
    <w:rsid w:val="002C05AE"/>
    <w:rsid w:val="002C0977"/>
    <w:rsid w:val="002C0CA6"/>
    <w:rsid w:val="002C0FC8"/>
    <w:rsid w:val="002C113B"/>
    <w:rsid w:val="002C17A1"/>
    <w:rsid w:val="002C190C"/>
    <w:rsid w:val="002C1AB9"/>
    <w:rsid w:val="002C1B89"/>
    <w:rsid w:val="002C1D43"/>
    <w:rsid w:val="002C1E66"/>
    <w:rsid w:val="002C24E5"/>
    <w:rsid w:val="002C2503"/>
    <w:rsid w:val="002C28CD"/>
    <w:rsid w:val="002C2CBC"/>
    <w:rsid w:val="002C2CFA"/>
    <w:rsid w:val="002C2D95"/>
    <w:rsid w:val="002C2FF2"/>
    <w:rsid w:val="002C3067"/>
    <w:rsid w:val="002C3265"/>
    <w:rsid w:val="002C3777"/>
    <w:rsid w:val="002C388E"/>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1A"/>
    <w:rsid w:val="002D1A32"/>
    <w:rsid w:val="002D1D19"/>
    <w:rsid w:val="002D1E08"/>
    <w:rsid w:val="002D1F76"/>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5A62"/>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E00F9"/>
    <w:rsid w:val="002E0369"/>
    <w:rsid w:val="002E0465"/>
    <w:rsid w:val="002E068A"/>
    <w:rsid w:val="002E08BE"/>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32D"/>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A70"/>
    <w:rsid w:val="002E6CFC"/>
    <w:rsid w:val="002E73DE"/>
    <w:rsid w:val="002E74B9"/>
    <w:rsid w:val="002E75F1"/>
    <w:rsid w:val="002E7736"/>
    <w:rsid w:val="002E7877"/>
    <w:rsid w:val="002E7BD2"/>
    <w:rsid w:val="002F0221"/>
    <w:rsid w:val="002F03BC"/>
    <w:rsid w:val="002F0980"/>
    <w:rsid w:val="002F09C2"/>
    <w:rsid w:val="002F0BD2"/>
    <w:rsid w:val="002F0C72"/>
    <w:rsid w:val="002F0CC9"/>
    <w:rsid w:val="002F12DE"/>
    <w:rsid w:val="002F15C1"/>
    <w:rsid w:val="002F173A"/>
    <w:rsid w:val="002F1827"/>
    <w:rsid w:val="002F190A"/>
    <w:rsid w:val="002F1968"/>
    <w:rsid w:val="002F1E63"/>
    <w:rsid w:val="002F2217"/>
    <w:rsid w:val="002F2261"/>
    <w:rsid w:val="002F2834"/>
    <w:rsid w:val="002F2840"/>
    <w:rsid w:val="002F2872"/>
    <w:rsid w:val="002F2922"/>
    <w:rsid w:val="002F2BDD"/>
    <w:rsid w:val="002F2CD6"/>
    <w:rsid w:val="002F35CA"/>
    <w:rsid w:val="002F39FF"/>
    <w:rsid w:val="002F3B0B"/>
    <w:rsid w:val="002F3F6E"/>
    <w:rsid w:val="002F409D"/>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B"/>
    <w:rsid w:val="00301A06"/>
    <w:rsid w:val="00301A90"/>
    <w:rsid w:val="00301E7D"/>
    <w:rsid w:val="00301F3A"/>
    <w:rsid w:val="0030202D"/>
    <w:rsid w:val="003022DE"/>
    <w:rsid w:val="00302459"/>
    <w:rsid w:val="00302476"/>
    <w:rsid w:val="0030250E"/>
    <w:rsid w:val="003028B2"/>
    <w:rsid w:val="00302CA2"/>
    <w:rsid w:val="00302F67"/>
    <w:rsid w:val="00303049"/>
    <w:rsid w:val="00303421"/>
    <w:rsid w:val="0030358E"/>
    <w:rsid w:val="003036A8"/>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AB5"/>
    <w:rsid w:val="00316B74"/>
    <w:rsid w:val="00316D12"/>
    <w:rsid w:val="00316D4A"/>
    <w:rsid w:val="00316E79"/>
    <w:rsid w:val="00317034"/>
    <w:rsid w:val="003177AF"/>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91"/>
    <w:rsid w:val="003243A5"/>
    <w:rsid w:val="003245DB"/>
    <w:rsid w:val="00324B44"/>
    <w:rsid w:val="00324B49"/>
    <w:rsid w:val="00324E7A"/>
    <w:rsid w:val="0032526D"/>
    <w:rsid w:val="0032565F"/>
    <w:rsid w:val="00325769"/>
    <w:rsid w:val="00325B85"/>
    <w:rsid w:val="00325F0C"/>
    <w:rsid w:val="00325F69"/>
    <w:rsid w:val="00325F7D"/>
    <w:rsid w:val="00326166"/>
    <w:rsid w:val="003269EA"/>
    <w:rsid w:val="00326A42"/>
    <w:rsid w:val="00326C1A"/>
    <w:rsid w:val="00326E82"/>
    <w:rsid w:val="00326EC7"/>
    <w:rsid w:val="003273D0"/>
    <w:rsid w:val="00327528"/>
    <w:rsid w:val="00327612"/>
    <w:rsid w:val="00327702"/>
    <w:rsid w:val="0032787F"/>
    <w:rsid w:val="00327B3F"/>
    <w:rsid w:val="00327C4D"/>
    <w:rsid w:val="00327C80"/>
    <w:rsid w:val="00327CB3"/>
    <w:rsid w:val="003303DE"/>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4C7B"/>
    <w:rsid w:val="00345023"/>
    <w:rsid w:val="0034528D"/>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232"/>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90A"/>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99"/>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4319"/>
    <w:rsid w:val="003643C1"/>
    <w:rsid w:val="003643D7"/>
    <w:rsid w:val="00364479"/>
    <w:rsid w:val="00364493"/>
    <w:rsid w:val="003644B1"/>
    <w:rsid w:val="00364D2E"/>
    <w:rsid w:val="0036569F"/>
    <w:rsid w:val="0036594F"/>
    <w:rsid w:val="0036595F"/>
    <w:rsid w:val="00365F32"/>
    <w:rsid w:val="00366192"/>
    <w:rsid w:val="0036643A"/>
    <w:rsid w:val="00366544"/>
    <w:rsid w:val="00366880"/>
    <w:rsid w:val="00366A1A"/>
    <w:rsid w:val="00366AEA"/>
    <w:rsid w:val="00366DC7"/>
    <w:rsid w:val="00366F83"/>
    <w:rsid w:val="00366FA1"/>
    <w:rsid w:val="003672E0"/>
    <w:rsid w:val="00367569"/>
    <w:rsid w:val="00367757"/>
    <w:rsid w:val="003677B1"/>
    <w:rsid w:val="00367D6B"/>
    <w:rsid w:val="0037004C"/>
    <w:rsid w:val="003701FA"/>
    <w:rsid w:val="003703CB"/>
    <w:rsid w:val="003705DC"/>
    <w:rsid w:val="003707CC"/>
    <w:rsid w:val="00370C3D"/>
    <w:rsid w:val="00371104"/>
    <w:rsid w:val="0037119B"/>
    <w:rsid w:val="0037124A"/>
    <w:rsid w:val="00371358"/>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56"/>
    <w:rsid w:val="00375367"/>
    <w:rsid w:val="003754A0"/>
    <w:rsid w:val="0037568D"/>
    <w:rsid w:val="00375883"/>
    <w:rsid w:val="00375D43"/>
    <w:rsid w:val="00376321"/>
    <w:rsid w:val="0037633D"/>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869"/>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0FD9"/>
    <w:rsid w:val="00391110"/>
    <w:rsid w:val="00391202"/>
    <w:rsid w:val="0039133A"/>
    <w:rsid w:val="00391378"/>
    <w:rsid w:val="0039195B"/>
    <w:rsid w:val="00391BE3"/>
    <w:rsid w:val="00391C3B"/>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5E3"/>
    <w:rsid w:val="00392A11"/>
    <w:rsid w:val="00392C88"/>
    <w:rsid w:val="00392E5E"/>
    <w:rsid w:val="00392F22"/>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8E4"/>
    <w:rsid w:val="00396BC4"/>
    <w:rsid w:val="00396DD9"/>
    <w:rsid w:val="003A0084"/>
    <w:rsid w:val="003A09F1"/>
    <w:rsid w:val="003A0D45"/>
    <w:rsid w:val="003A0DD3"/>
    <w:rsid w:val="003A0F7C"/>
    <w:rsid w:val="003A135C"/>
    <w:rsid w:val="003A1364"/>
    <w:rsid w:val="003A14BF"/>
    <w:rsid w:val="003A198C"/>
    <w:rsid w:val="003A1B1D"/>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257"/>
    <w:rsid w:val="003A47AA"/>
    <w:rsid w:val="003A4AD0"/>
    <w:rsid w:val="003A4B3C"/>
    <w:rsid w:val="003A4FE1"/>
    <w:rsid w:val="003A5175"/>
    <w:rsid w:val="003A557A"/>
    <w:rsid w:val="003A5844"/>
    <w:rsid w:val="003A594E"/>
    <w:rsid w:val="003A5C38"/>
    <w:rsid w:val="003A5CD5"/>
    <w:rsid w:val="003A5D4E"/>
    <w:rsid w:val="003A5F76"/>
    <w:rsid w:val="003A6132"/>
    <w:rsid w:val="003A61F9"/>
    <w:rsid w:val="003A6478"/>
    <w:rsid w:val="003A64C1"/>
    <w:rsid w:val="003A6658"/>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B4B"/>
    <w:rsid w:val="003B4D74"/>
    <w:rsid w:val="003B4F86"/>
    <w:rsid w:val="003B5800"/>
    <w:rsid w:val="003B5824"/>
    <w:rsid w:val="003B586D"/>
    <w:rsid w:val="003B59E5"/>
    <w:rsid w:val="003B6399"/>
    <w:rsid w:val="003B6C09"/>
    <w:rsid w:val="003B7837"/>
    <w:rsid w:val="003B7BF6"/>
    <w:rsid w:val="003B7C7F"/>
    <w:rsid w:val="003C01E6"/>
    <w:rsid w:val="003C05EB"/>
    <w:rsid w:val="003C1019"/>
    <w:rsid w:val="003C1312"/>
    <w:rsid w:val="003C1972"/>
    <w:rsid w:val="003C1981"/>
    <w:rsid w:val="003C1BE2"/>
    <w:rsid w:val="003C1C88"/>
    <w:rsid w:val="003C2066"/>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562"/>
    <w:rsid w:val="003D07BA"/>
    <w:rsid w:val="003D08DD"/>
    <w:rsid w:val="003D0BA3"/>
    <w:rsid w:val="003D0C1F"/>
    <w:rsid w:val="003D0C27"/>
    <w:rsid w:val="003D0F1F"/>
    <w:rsid w:val="003D135A"/>
    <w:rsid w:val="003D1372"/>
    <w:rsid w:val="003D1682"/>
    <w:rsid w:val="003D176B"/>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638"/>
    <w:rsid w:val="003D5712"/>
    <w:rsid w:val="003D5BA1"/>
    <w:rsid w:val="003D5DCB"/>
    <w:rsid w:val="003D61E5"/>
    <w:rsid w:val="003D6419"/>
    <w:rsid w:val="003D6692"/>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576C"/>
    <w:rsid w:val="003E5A29"/>
    <w:rsid w:val="003E5CBD"/>
    <w:rsid w:val="003E5E72"/>
    <w:rsid w:val="003E5EA0"/>
    <w:rsid w:val="003E5F3C"/>
    <w:rsid w:val="003E5FD6"/>
    <w:rsid w:val="003E61A6"/>
    <w:rsid w:val="003E64F0"/>
    <w:rsid w:val="003E6759"/>
    <w:rsid w:val="003E69F6"/>
    <w:rsid w:val="003E6C2A"/>
    <w:rsid w:val="003E71D0"/>
    <w:rsid w:val="003E78F3"/>
    <w:rsid w:val="003E7C18"/>
    <w:rsid w:val="003E7F9C"/>
    <w:rsid w:val="003F0053"/>
    <w:rsid w:val="003F016F"/>
    <w:rsid w:val="003F0215"/>
    <w:rsid w:val="003F0727"/>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374"/>
    <w:rsid w:val="003F2671"/>
    <w:rsid w:val="003F27D5"/>
    <w:rsid w:val="003F2832"/>
    <w:rsid w:val="003F2910"/>
    <w:rsid w:val="003F2930"/>
    <w:rsid w:val="003F2D9E"/>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7EA"/>
    <w:rsid w:val="003F6835"/>
    <w:rsid w:val="003F6A59"/>
    <w:rsid w:val="003F6B41"/>
    <w:rsid w:val="003F72C3"/>
    <w:rsid w:val="003F7622"/>
    <w:rsid w:val="003F7892"/>
    <w:rsid w:val="003F7C99"/>
    <w:rsid w:val="0040025F"/>
    <w:rsid w:val="00400B48"/>
    <w:rsid w:val="00400C56"/>
    <w:rsid w:val="00400DCA"/>
    <w:rsid w:val="00400F24"/>
    <w:rsid w:val="0040104E"/>
    <w:rsid w:val="00401083"/>
    <w:rsid w:val="004013D8"/>
    <w:rsid w:val="004013F3"/>
    <w:rsid w:val="004015E5"/>
    <w:rsid w:val="0040196D"/>
    <w:rsid w:val="00402138"/>
    <w:rsid w:val="00402477"/>
    <w:rsid w:val="004026C2"/>
    <w:rsid w:val="00402B49"/>
    <w:rsid w:val="00402BEC"/>
    <w:rsid w:val="00402DD5"/>
    <w:rsid w:val="00402F55"/>
    <w:rsid w:val="0040320C"/>
    <w:rsid w:val="004035AB"/>
    <w:rsid w:val="0040420F"/>
    <w:rsid w:val="00404295"/>
    <w:rsid w:val="004042B7"/>
    <w:rsid w:val="00404B66"/>
    <w:rsid w:val="00404BDB"/>
    <w:rsid w:val="004056BA"/>
    <w:rsid w:val="00405819"/>
    <w:rsid w:val="0040589B"/>
    <w:rsid w:val="00405A25"/>
    <w:rsid w:val="00405B7C"/>
    <w:rsid w:val="00405BA1"/>
    <w:rsid w:val="00406478"/>
    <w:rsid w:val="004066C8"/>
    <w:rsid w:val="00406D4E"/>
    <w:rsid w:val="00406D7E"/>
    <w:rsid w:val="00406E33"/>
    <w:rsid w:val="00407091"/>
    <w:rsid w:val="0040734E"/>
    <w:rsid w:val="004073A6"/>
    <w:rsid w:val="004074C5"/>
    <w:rsid w:val="00407AFD"/>
    <w:rsid w:val="00407B80"/>
    <w:rsid w:val="00407F9F"/>
    <w:rsid w:val="00410333"/>
    <w:rsid w:val="00410504"/>
    <w:rsid w:val="0041072B"/>
    <w:rsid w:val="00410A75"/>
    <w:rsid w:val="00410ADF"/>
    <w:rsid w:val="00410B1D"/>
    <w:rsid w:val="00410E0D"/>
    <w:rsid w:val="004110B8"/>
    <w:rsid w:val="0041129A"/>
    <w:rsid w:val="004122AC"/>
    <w:rsid w:val="004123C4"/>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E5"/>
    <w:rsid w:val="00421DA2"/>
    <w:rsid w:val="00421E8E"/>
    <w:rsid w:val="00421EAB"/>
    <w:rsid w:val="00422407"/>
    <w:rsid w:val="00422C3C"/>
    <w:rsid w:val="00422F97"/>
    <w:rsid w:val="0042341B"/>
    <w:rsid w:val="00423772"/>
    <w:rsid w:val="00423779"/>
    <w:rsid w:val="00423888"/>
    <w:rsid w:val="00423AAA"/>
    <w:rsid w:val="00423E8A"/>
    <w:rsid w:val="00423EDC"/>
    <w:rsid w:val="004240F5"/>
    <w:rsid w:val="00424102"/>
    <w:rsid w:val="004243AF"/>
    <w:rsid w:val="00424423"/>
    <w:rsid w:val="004244F0"/>
    <w:rsid w:val="00424612"/>
    <w:rsid w:val="0042516C"/>
    <w:rsid w:val="004258AE"/>
    <w:rsid w:val="00425926"/>
    <w:rsid w:val="004259CC"/>
    <w:rsid w:val="00425B5B"/>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068"/>
    <w:rsid w:val="00431333"/>
    <w:rsid w:val="00431969"/>
    <w:rsid w:val="00431BA6"/>
    <w:rsid w:val="00431CF5"/>
    <w:rsid w:val="00431D22"/>
    <w:rsid w:val="00431FA8"/>
    <w:rsid w:val="00432C7D"/>
    <w:rsid w:val="00432FEF"/>
    <w:rsid w:val="0043301E"/>
    <w:rsid w:val="004336B5"/>
    <w:rsid w:val="00433C96"/>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0E85"/>
    <w:rsid w:val="00441083"/>
    <w:rsid w:val="0044149C"/>
    <w:rsid w:val="00441A13"/>
    <w:rsid w:val="00441A64"/>
    <w:rsid w:val="00441C0F"/>
    <w:rsid w:val="00442255"/>
    <w:rsid w:val="004424CF"/>
    <w:rsid w:val="0044262A"/>
    <w:rsid w:val="004428D0"/>
    <w:rsid w:val="004428FF"/>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8DE"/>
    <w:rsid w:val="00445A1C"/>
    <w:rsid w:val="00445D8F"/>
    <w:rsid w:val="00445DB8"/>
    <w:rsid w:val="004460EF"/>
    <w:rsid w:val="00446318"/>
    <w:rsid w:val="004464AD"/>
    <w:rsid w:val="0044674B"/>
    <w:rsid w:val="00446771"/>
    <w:rsid w:val="004467E6"/>
    <w:rsid w:val="00446A5B"/>
    <w:rsid w:val="00446C44"/>
    <w:rsid w:val="00446D17"/>
    <w:rsid w:val="004470A0"/>
    <w:rsid w:val="00447643"/>
    <w:rsid w:val="0044768A"/>
    <w:rsid w:val="004476D2"/>
    <w:rsid w:val="00447904"/>
    <w:rsid w:val="00447981"/>
    <w:rsid w:val="00447CA0"/>
    <w:rsid w:val="00447DCE"/>
    <w:rsid w:val="00447DEE"/>
    <w:rsid w:val="004509C8"/>
    <w:rsid w:val="00450C96"/>
    <w:rsid w:val="004514FF"/>
    <w:rsid w:val="00451A26"/>
    <w:rsid w:val="00451C14"/>
    <w:rsid w:val="00451C3F"/>
    <w:rsid w:val="004521D1"/>
    <w:rsid w:val="00452292"/>
    <w:rsid w:val="0045232A"/>
    <w:rsid w:val="004525F2"/>
    <w:rsid w:val="00452796"/>
    <w:rsid w:val="004529B6"/>
    <w:rsid w:val="00452AF6"/>
    <w:rsid w:val="004533FD"/>
    <w:rsid w:val="00453449"/>
    <w:rsid w:val="0045374D"/>
    <w:rsid w:val="00453767"/>
    <w:rsid w:val="00453897"/>
    <w:rsid w:val="00453A6E"/>
    <w:rsid w:val="00453AD6"/>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275"/>
    <w:rsid w:val="0045633B"/>
    <w:rsid w:val="0045679E"/>
    <w:rsid w:val="004567A8"/>
    <w:rsid w:val="00456EF9"/>
    <w:rsid w:val="00456FB2"/>
    <w:rsid w:val="00457066"/>
    <w:rsid w:val="00457327"/>
    <w:rsid w:val="0045754F"/>
    <w:rsid w:val="00457AD1"/>
    <w:rsid w:val="00457BD9"/>
    <w:rsid w:val="00457BFF"/>
    <w:rsid w:val="00457D9B"/>
    <w:rsid w:val="00457F0C"/>
    <w:rsid w:val="0046072B"/>
    <w:rsid w:val="004607BA"/>
    <w:rsid w:val="004607F8"/>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2BF"/>
    <w:rsid w:val="0046473C"/>
    <w:rsid w:val="0046482D"/>
    <w:rsid w:val="00464A74"/>
    <w:rsid w:val="004658BB"/>
    <w:rsid w:val="004658E3"/>
    <w:rsid w:val="00465ECA"/>
    <w:rsid w:val="00465FDF"/>
    <w:rsid w:val="004660B6"/>
    <w:rsid w:val="004664CB"/>
    <w:rsid w:val="004667D7"/>
    <w:rsid w:val="00466A78"/>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828"/>
    <w:rsid w:val="00472901"/>
    <w:rsid w:val="004729C8"/>
    <w:rsid w:val="00472AAF"/>
    <w:rsid w:val="00473232"/>
    <w:rsid w:val="00473518"/>
    <w:rsid w:val="0047360F"/>
    <w:rsid w:val="004736B9"/>
    <w:rsid w:val="004739AB"/>
    <w:rsid w:val="00473A6F"/>
    <w:rsid w:val="00473B6E"/>
    <w:rsid w:val="00474291"/>
    <w:rsid w:val="00474B08"/>
    <w:rsid w:val="00474B0E"/>
    <w:rsid w:val="00474B7C"/>
    <w:rsid w:val="00474C05"/>
    <w:rsid w:val="00474F1B"/>
    <w:rsid w:val="00475333"/>
    <w:rsid w:val="004753FC"/>
    <w:rsid w:val="0047550E"/>
    <w:rsid w:val="00475754"/>
    <w:rsid w:val="00475957"/>
    <w:rsid w:val="00475F69"/>
    <w:rsid w:val="00475FA8"/>
    <w:rsid w:val="004761B3"/>
    <w:rsid w:val="004763DE"/>
    <w:rsid w:val="00476913"/>
    <w:rsid w:val="00476B85"/>
    <w:rsid w:val="00476CE0"/>
    <w:rsid w:val="00476DEC"/>
    <w:rsid w:val="00477092"/>
    <w:rsid w:val="00477300"/>
    <w:rsid w:val="0047739E"/>
    <w:rsid w:val="00477514"/>
    <w:rsid w:val="004777E8"/>
    <w:rsid w:val="00477B89"/>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4C2"/>
    <w:rsid w:val="0049353A"/>
    <w:rsid w:val="004938DF"/>
    <w:rsid w:val="00493A17"/>
    <w:rsid w:val="00493CF5"/>
    <w:rsid w:val="00493D19"/>
    <w:rsid w:val="00493DA0"/>
    <w:rsid w:val="0049446A"/>
    <w:rsid w:val="004945D5"/>
    <w:rsid w:val="004946F3"/>
    <w:rsid w:val="00494A79"/>
    <w:rsid w:val="00494CCF"/>
    <w:rsid w:val="00494E86"/>
    <w:rsid w:val="00494E96"/>
    <w:rsid w:val="00495A6C"/>
    <w:rsid w:val="00495CAC"/>
    <w:rsid w:val="00495F95"/>
    <w:rsid w:val="00495FC6"/>
    <w:rsid w:val="00496355"/>
    <w:rsid w:val="004964AD"/>
    <w:rsid w:val="004966A6"/>
    <w:rsid w:val="0049682F"/>
    <w:rsid w:val="0049697F"/>
    <w:rsid w:val="00496A9B"/>
    <w:rsid w:val="00496F04"/>
    <w:rsid w:val="004971B7"/>
    <w:rsid w:val="004971DF"/>
    <w:rsid w:val="004A0057"/>
    <w:rsid w:val="004A0083"/>
    <w:rsid w:val="004A0133"/>
    <w:rsid w:val="004A053A"/>
    <w:rsid w:val="004A057E"/>
    <w:rsid w:val="004A0BDA"/>
    <w:rsid w:val="004A0DB3"/>
    <w:rsid w:val="004A0ECB"/>
    <w:rsid w:val="004A0FF9"/>
    <w:rsid w:val="004A11C3"/>
    <w:rsid w:val="004A17E7"/>
    <w:rsid w:val="004A1824"/>
    <w:rsid w:val="004A1A15"/>
    <w:rsid w:val="004A2132"/>
    <w:rsid w:val="004A2182"/>
    <w:rsid w:val="004A22C0"/>
    <w:rsid w:val="004A251A"/>
    <w:rsid w:val="004A2841"/>
    <w:rsid w:val="004A2E75"/>
    <w:rsid w:val="004A2EF8"/>
    <w:rsid w:val="004A2F37"/>
    <w:rsid w:val="004A3363"/>
    <w:rsid w:val="004A33C5"/>
    <w:rsid w:val="004A343A"/>
    <w:rsid w:val="004A35BF"/>
    <w:rsid w:val="004A3677"/>
    <w:rsid w:val="004A3C47"/>
    <w:rsid w:val="004A3F20"/>
    <w:rsid w:val="004A4005"/>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B89"/>
    <w:rsid w:val="004A7C06"/>
    <w:rsid w:val="004A7E47"/>
    <w:rsid w:val="004B01F5"/>
    <w:rsid w:val="004B01F9"/>
    <w:rsid w:val="004B0541"/>
    <w:rsid w:val="004B069B"/>
    <w:rsid w:val="004B075A"/>
    <w:rsid w:val="004B080D"/>
    <w:rsid w:val="004B0977"/>
    <w:rsid w:val="004B0A57"/>
    <w:rsid w:val="004B18C9"/>
    <w:rsid w:val="004B1962"/>
    <w:rsid w:val="004B19F3"/>
    <w:rsid w:val="004B19F7"/>
    <w:rsid w:val="004B1E05"/>
    <w:rsid w:val="004B1EC9"/>
    <w:rsid w:val="004B21F2"/>
    <w:rsid w:val="004B2486"/>
    <w:rsid w:val="004B2B4B"/>
    <w:rsid w:val="004B2CA0"/>
    <w:rsid w:val="004B2E2E"/>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66D"/>
    <w:rsid w:val="004C1A6A"/>
    <w:rsid w:val="004C1DB3"/>
    <w:rsid w:val="004C22EC"/>
    <w:rsid w:val="004C28C2"/>
    <w:rsid w:val="004C34A2"/>
    <w:rsid w:val="004C3BCC"/>
    <w:rsid w:val="004C3D11"/>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D5C"/>
    <w:rsid w:val="004C6E25"/>
    <w:rsid w:val="004C702B"/>
    <w:rsid w:val="004C713E"/>
    <w:rsid w:val="004C72E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C41"/>
    <w:rsid w:val="004D4F4C"/>
    <w:rsid w:val="004D51ED"/>
    <w:rsid w:val="004D52F6"/>
    <w:rsid w:val="004D5606"/>
    <w:rsid w:val="004D5A01"/>
    <w:rsid w:val="004D5A71"/>
    <w:rsid w:val="004D5B42"/>
    <w:rsid w:val="004D5C60"/>
    <w:rsid w:val="004D5E66"/>
    <w:rsid w:val="004D6020"/>
    <w:rsid w:val="004D605F"/>
    <w:rsid w:val="004D6090"/>
    <w:rsid w:val="004D6157"/>
    <w:rsid w:val="004D679B"/>
    <w:rsid w:val="004D67BB"/>
    <w:rsid w:val="004D6BDA"/>
    <w:rsid w:val="004D7289"/>
    <w:rsid w:val="004D752A"/>
    <w:rsid w:val="004D79FF"/>
    <w:rsid w:val="004D7FD0"/>
    <w:rsid w:val="004E04B2"/>
    <w:rsid w:val="004E0D07"/>
    <w:rsid w:val="004E0D6B"/>
    <w:rsid w:val="004E105C"/>
    <w:rsid w:val="004E118E"/>
    <w:rsid w:val="004E11F4"/>
    <w:rsid w:val="004E161C"/>
    <w:rsid w:val="004E170B"/>
    <w:rsid w:val="004E181E"/>
    <w:rsid w:val="004E1C29"/>
    <w:rsid w:val="004E1D68"/>
    <w:rsid w:val="004E22D6"/>
    <w:rsid w:val="004E238A"/>
    <w:rsid w:val="004E241E"/>
    <w:rsid w:val="004E2A82"/>
    <w:rsid w:val="004E2B92"/>
    <w:rsid w:val="004E2BD0"/>
    <w:rsid w:val="004E328C"/>
    <w:rsid w:val="004E3718"/>
    <w:rsid w:val="004E389A"/>
    <w:rsid w:val="004E39CE"/>
    <w:rsid w:val="004E3B09"/>
    <w:rsid w:val="004E3D72"/>
    <w:rsid w:val="004E3E13"/>
    <w:rsid w:val="004E3EF0"/>
    <w:rsid w:val="004E4A16"/>
    <w:rsid w:val="004E4A99"/>
    <w:rsid w:val="004E4E56"/>
    <w:rsid w:val="004E51CE"/>
    <w:rsid w:val="004E54D5"/>
    <w:rsid w:val="004E55C6"/>
    <w:rsid w:val="004E58DC"/>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6B7"/>
    <w:rsid w:val="0050278C"/>
    <w:rsid w:val="00502CE9"/>
    <w:rsid w:val="00502DBB"/>
    <w:rsid w:val="00502FEE"/>
    <w:rsid w:val="00503011"/>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6AA"/>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278"/>
    <w:rsid w:val="005133EB"/>
    <w:rsid w:val="005136D1"/>
    <w:rsid w:val="0051371E"/>
    <w:rsid w:val="005137E7"/>
    <w:rsid w:val="0051385E"/>
    <w:rsid w:val="00513A46"/>
    <w:rsid w:val="00513A69"/>
    <w:rsid w:val="00513A92"/>
    <w:rsid w:val="00513E40"/>
    <w:rsid w:val="00513F90"/>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905"/>
    <w:rsid w:val="00516A12"/>
    <w:rsid w:val="00516FD1"/>
    <w:rsid w:val="00517AFC"/>
    <w:rsid w:val="00517B10"/>
    <w:rsid w:val="00517F20"/>
    <w:rsid w:val="00520187"/>
    <w:rsid w:val="005203B7"/>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914"/>
    <w:rsid w:val="005249E3"/>
    <w:rsid w:val="00524B1C"/>
    <w:rsid w:val="00524C6F"/>
    <w:rsid w:val="00524D37"/>
    <w:rsid w:val="005258EE"/>
    <w:rsid w:val="00525C32"/>
    <w:rsid w:val="00526115"/>
    <w:rsid w:val="00526185"/>
    <w:rsid w:val="005261ED"/>
    <w:rsid w:val="005266D0"/>
    <w:rsid w:val="005266F6"/>
    <w:rsid w:val="00526791"/>
    <w:rsid w:val="00526805"/>
    <w:rsid w:val="005268C7"/>
    <w:rsid w:val="00526910"/>
    <w:rsid w:val="00527027"/>
    <w:rsid w:val="00527328"/>
    <w:rsid w:val="0052757D"/>
    <w:rsid w:val="0052767E"/>
    <w:rsid w:val="0052769E"/>
    <w:rsid w:val="0052770D"/>
    <w:rsid w:val="00527855"/>
    <w:rsid w:val="0052794E"/>
    <w:rsid w:val="00527D2E"/>
    <w:rsid w:val="0053000C"/>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3ED7"/>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8C"/>
    <w:rsid w:val="00540B90"/>
    <w:rsid w:val="00540BC7"/>
    <w:rsid w:val="00541256"/>
    <w:rsid w:val="005413FF"/>
    <w:rsid w:val="005414AE"/>
    <w:rsid w:val="00541702"/>
    <w:rsid w:val="00541924"/>
    <w:rsid w:val="00541935"/>
    <w:rsid w:val="00541D8C"/>
    <w:rsid w:val="00541F95"/>
    <w:rsid w:val="00541FE2"/>
    <w:rsid w:val="005423A1"/>
    <w:rsid w:val="005427DF"/>
    <w:rsid w:val="00542BD2"/>
    <w:rsid w:val="0054315D"/>
    <w:rsid w:val="00543305"/>
    <w:rsid w:val="0054336D"/>
    <w:rsid w:val="0054350D"/>
    <w:rsid w:val="005436C1"/>
    <w:rsid w:val="0054382F"/>
    <w:rsid w:val="00543989"/>
    <w:rsid w:val="00543B78"/>
    <w:rsid w:val="00543BCA"/>
    <w:rsid w:val="00543D7B"/>
    <w:rsid w:val="00543ED8"/>
    <w:rsid w:val="00543FDC"/>
    <w:rsid w:val="00544218"/>
    <w:rsid w:val="0054438E"/>
    <w:rsid w:val="0054457A"/>
    <w:rsid w:val="00544A7F"/>
    <w:rsid w:val="00545018"/>
    <w:rsid w:val="0054535F"/>
    <w:rsid w:val="00545361"/>
    <w:rsid w:val="005455EB"/>
    <w:rsid w:val="00545802"/>
    <w:rsid w:val="00545A5E"/>
    <w:rsid w:val="005460A5"/>
    <w:rsid w:val="0054620D"/>
    <w:rsid w:val="00546754"/>
    <w:rsid w:val="0054694F"/>
    <w:rsid w:val="00546C44"/>
    <w:rsid w:val="00546E37"/>
    <w:rsid w:val="00546EE6"/>
    <w:rsid w:val="00546EF4"/>
    <w:rsid w:val="00546F24"/>
    <w:rsid w:val="00546FF9"/>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378"/>
    <w:rsid w:val="005546C7"/>
    <w:rsid w:val="005546E3"/>
    <w:rsid w:val="0055497C"/>
    <w:rsid w:val="00554A12"/>
    <w:rsid w:val="00554A78"/>
    <w:rsid w:val="00554AA6"/>
    <w:rsid w:val="00554D76"/>
    <w:rsid w:val="00554DAD"/>
    <w:rsid w:val="00554E1A"/>
    <w:rsid w:val="00555282"/>
    <w:rsid w:val="005554DB"/>
    <w:rsid w:val="0055564D"/>
    <w:rsid w:val="00555B51"/>
    <w:rsid w:val="00555C66"/>
    <w:rsid w:val="00555D27"/>
    <w:rsid w:val="005564F8"/>
    <w:rsid w:val="0055697C"/>
    <w:rsid w:val="00556A51"/>
    <w:rsid w:val="00556C69"/>
    <w:rsid w:val="00556C9F"/>
    <w:rsid w:val="005571AA"/>
    <w:rsid w:val="005579DF"/>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52B"/>
    <w:rsid w:val="005709A6"/>
    <w:rsid w:val="00570A6A"/>
    <w:rsid w:val="00570F8D"/>
    <w:rsid w:val="00571F2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354"/>
    <w:rsid w:val="0057772C"/>
    <w:rsid w:val="00577754"/>
    <w:rsid w:val="0057793D"/>
    <w:rsid w:val="00577D74"/>
    <w:rsid w:val="00580050"/>
    <w:rsid w:val="00580531"/>
    <w:rsid w:val="00580721"/>
    <w:rsid w:val="00580923"/>
    <w:rsid w:val="0058102B"/>
    <w:rsid w:val="00581D35"/>
    <w:rsid w:val="00582048"/>
    <w:rsid w:val="0058210F"/>
    <w:rsid w:val="00582225"/>
    <w:rsid w:val="00582580"/>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7EF"/>
    <w:rsid w:val="00587863"/>
    <w:rsid w:val="00587B39"/>
    <w:rsid w:val="00587C4A"/>
    <w:rsid w:val="00587F47"/>
    <w:rsid w:val="005903A3"/>
    <w:rsid w:val="0059057F"/>
    <w:rsid w:val="00590922"/>
    <w:rsid w:val="005909FE"/>
    <w:rsid w:val="00590F62"/>
    <w:rsid w:val="0059108F"/>
    <w:rsid w:val="005913C7"/>
    <w:rsid w:val="00591BA7"/>
    <w:rsid w:val="00591E77"/>
    <w:rsid w:val="00591F13"/>
    <w:rsid w:val="00592203"/>
    <w:rsid w:val="0059235C"/>
    <w:rsid w:val="005929B0"/>
    <w:rsid w:val="00592A88"/>
    <w:rsid w:val="00592D11"/>
    <w:rsid w:val="005933EA"/>
    <w:rsid w:val="00593564"/>
    <w:rsid w:val="0059365F"/>
    <w:rsid w:val="005936AE"/>
    <w:rsid w:val="005936AF"/>
    <w:rsid w:val="00593768"/>
    <w:rsid w:val="0059391A"/>
    <w:rsid w:val="00593A1D"/>
    <w:rsid w:val="00593B5D"/>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B76"/>
    <w:rsid w:val="005A0CA6"/>
    <w:rsid w:val="005A0F60"/>
    <w:rsid w:val="005A129B"/>
    <w:rsid w:val="005A148C"/>
    <w:rsid w:val="005A156E"/>
    <w:rsid w:val="005A1B1E"/>
    <w:rsid w:val="005A1C26"/>
    <w:rsid w:val="005A1C29"/>
    <w:rsid w:val="005A205D"/>
    <w:rsid w:val="005A22FB"/>
    <w:rsid w:val="005A2452"/>
    <w:rsid w:val="005A2862"/>
    <w:rsid w:val="005A28AA"/>
    <w:rsid w:val="005A2A19"/>
    <w:rsid w:val="005A2B6C"/>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9B"/>
    <w:rsid w:val="005A77C6"/>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D03"/>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E34"/>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9C1"/>
    <w:rsid w:val="005C3B82"/>
    <w:rsid w:val="005C3D65"/>
    <w:rsid w:val="005C3EA0"/>
    <w:rsid w:val="005C3FC2"/>
    <w:rsid w:val="005C4656"/>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A84"/>
    <w:rsid w:val="005C7B3B"/>
    <w:rsid w:val="005D026F"/>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BBA"/>
    <w:rsid w:val="005D5DA5"/>
    <w:rsid w:val="005D5EF7"/>
    <w:rsid w:val="005D5EFF"/>
    <w:rsid w:val="005D6385"/>
    <w:rsid w:val="005D65DE"/>
    <w:rsid w:val="005D6F2D"/>
    <w:rsid w:val="005D7324"/>
    <w:rsid w:val="005D7376"/>
    <w:rsid w:val="005D7473"/>
    <w:rsid w:val="005D7790"/>
    <w:rsid w:val="005D7F8A"/>
    <w:rsid w:val="005E0079"/>
    <w:rsid w:val="005E0279"/>
    <w:rsid w:val="005E063C"/>
    <w:rsid w:val="005E066C"/>
    <w:rsid w:val="005E10DC"/>
    <w:rsid w:val="005E133A"/>
    <w:rsid w:val="005E1481"/>
    <w:rsid w:val="005E199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8A9"/>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2D73"/>
    <w:rsid w:val="005F30C8"/>
    <w:rsid w:val="005F3288"/>
    <w:rsid w:val="005F3368"/>
    <w:rsid w:val="005F35EC"/>
    <w:rsid w:val="005F39C4"/>
    <w:rsid w:val="005F3BAC"/>
    <w:rsid w:val="005F3EAF"/>
    <w:rsid w:val="005F4050"/>
    <w:rsid w:val="005F42CF"/>
    <w:rsid w:val="005F4609"/>
    <w:rsid w:val="005F47B0"/>
    <w:rsid w:val="005F48CD"/>
    <w:rsid w:val="005F4C97"/>
    <w:rsid w:val="005F4D87"/>
    <w:rsid w:val="005F4EC5"/>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E2A"/>
    <w:rsid w:val="00602F7D"/>
    <w:rsid w:val="00603090"/>
    <w:rsid w:val="0060323E"/>
    <w:rsid w:val="00603F18"/>
    <w:rsid w:val="00604A10"/>
    <w:rsid w:val="00604FA4"/>
    <w:rsid w:val="006050F1"/>
    <w:rsid w:val="006057FB"/>
    <w:rsid w:val="00605FEB"/>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B96"/>
    <w:rsid w:val="00611C5A"/>
    <w:rsid w:val="00611CF8"/>
    <w:rsid w:val="00611D7A"/>
    <w:rsid w:val="0061252A"/>
    <w:rsid w:val="00612582"/>
    <w:rsid w:val="00612980"/>
    <w:rsid w:val="00612A6A"/>
    <w:rsid w:val="00612BE8"/>
    <w:rsid w:val="00612EFC"/>
    <w:rsid w:val="00613067"/>
    <w:rsid w:val="00613103"/>
    <w:rsid w:val="00613399"/>
    <w:rsid w:val="0061378F"/>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0AC"/>
    <w:rsid w:val="006161BC"/>
    <w:rsid w:val="0061625D"/>
    <w:rsid w:val="0061630F"/>
    <w:rsid w:val="00616328"/>
    <w:rsid w:val="006163A3"/>
    <w:rsid w:val="006165FC"/>
    <w:rsid w:val="00616888"/>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E7B"/>
    <w:rsid w:val="00622F27"/>
    <w:rsid w:val="00622FB7"/>
    <w:rsid w:val="0062328C"/>
    <w:rsid w:val="0062363D"/>
    <w:rsid w:val="00623C58"/>
    <w:rsid w:val="00623CD1"/>
    <w:rsid w:val="00623F6A"/>
    <w:rsid w:val="00623FA7"/>
    <w:rsid w:val="006248AB"/>
    <w:rsid w:val="00624B5A"/>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3B"/>
    <w:rsid w:val="00630055"/>
    <w:rsid w:val="0063005E"/>
    <w:rsid w:val="00630165"/>
    <w:rsid w:val="00630297"/>
    <w:rsid w:val="006302A6"/>
    <w:rsid w:val="006302AD"/>
    <w:rsid w:val="006305AE"/>
    <w:rsid w:val="00630626"/>
    <w:rsid w:val="00630678"/>
    <w:rsid w:val="00630737"/>
    <w:rsid w:val="00630738"/>
    <w:rsid w:val="00630A24"/>
    <w:rsid w:val="00630BAF"/>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BB4"/>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AF5"/>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1F14"/>
    <w:rsid w:val="0064231F"/>
    <w:rsid w:val="00642432"/>
    <w:rsid w:val="006424C6"/>
    <w:rsid w:val="0064259C"/>
    <w:rsid w:val="006428A3"/>
    <w:rsid w:val="006429F8"/>
    <w:rsid w:val="00642ABD"/>
    <w:rsid w:val="00642B97"/>
    <w:rsid w:val="00642E83"/>
    <w:rsid w:val="00642EFD"/>
    <w:rsid w:val="00643206"/>
    <w:rsid w:val="006433A7"/>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C6D"/>
    <w:rsid w:val="00653D47"/>
    <w:rsid w:val="00653DF4"/>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754"/>
    <w:rsid w:val="006568CC"/>
    <w:rsid w:val="0065696F"/>
    <w:rsid w:val="00656F3E"/>
    <w:rsid w:val="00657108"/>
    <w:rsid w:val="00657204"/>
    <w:rsid w:val="0065765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1C8"/>
    <w:rsid w:val="00666395"/>
    <w:rsid w:val="00666476"/>
    <w:rsid w:val="006668F3"/>
    <w:rsid w:val="00666A81"/>
    <w:rsid w:val="00666AAC"/>
    <w:rsid w:val="00666BFD"/>
    <w:rsid w:val="00666DD8"/>
    <w:rsid w:val="00666EB7"/>
    <w:rsid w:val="00666ED2"/>
    <w:rsid w:val="00666F74"/>
    <w:rsid w:val="00666FC8"/>
    <w:rsid w:val="006673B8"/>
    <w:rsid w:val="00667675"/>
    <w:rsid w:val="00667765"/>
    <w:rsid w:val="00667845"/>
    <w:rsid w:val="00667991"/>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1B4"/>
    <w:rsid w:val="006752A7"/>
    <w:rsid w:val="006758F1"/>
    <w:rsid w:val="00675A0A"/>
    <w:rsid w:val="00675B6E"/>
    <w:rsid w:val="006765FF"/>
    <w:rsid w:val="00676B69"/>
    <w:rsid w:val="00676D93"/>
    <w:rsid w:val="00676DC3"/>
    <w:rsid w:val="00677466"/>
    <w:rsid w:val="006775CA"/>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8DA"/>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5FC4"/>
    <w:rsid w:val="006A61C4"/>
    <w:rsid w:val="006A664F"/>
    <w:rsid w:val="006A6838"/>
    <w:rsid w:val="006A6996"/>
    <w:rsid w:val="006A6C31"/>
    <w:rsid w:val="006A6EF3"/>
    <w:rsid w:val="006A6F37"/>
    <w:rsid w:val="006A70AD"/>
    <w:rsid w:val="006A71D5"/>
    <w:rsid w:val="006A72FA"/>
    <w:rsid w:val="006A732A"/>
    <w:rsid w:val="006A75F7"/>
    <w:rsid w:val="006A7875"/>
    <w:rsid w:val="006A78EF"/>
    <w:rsid w:val="006A793C"/>
    <w:rsid w:val="006A7A35"/>
    <w:rsid w:val="006A7C17"/>
    <w:rsid w:val="006A7D1C"/>
    <w:rsid w:val="006B007A"/>
    <w:rsid w:val="006B112F"/>
    <w:rsid w:val="006B12DE"/>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6FD"/>
    <w:rsid w:val="006B476D"/>
    <w:rsid w:val="006B4E0A"/>
    <w:rsid w:val="006B4EF4"/>
    <w:rsid w:val="006B4F4C"/>
    <w:rsid w:val="006B5021"/>
    <w:rsid w:val="006B5246"/>
    <w:rsid w:val="006B5AA8"/>
    <w:rsid w:val="006B60AD"/>
    <w:rsid w:val="006B610E"/>
    <w:rsid w:val="006B654B"/>
    <w:rsid w:val="006B6D36"/>
    <w:rsid w:val="006B6E33"/>
    <w:rsid w:val="006B7282"/>
    <w:rsid w:val="006B730D"/>
    <w:rsid w:val="006B731B"/>
    <w:rsid w:val="006B7833"/>
    <w:rsid w:val="006B79D8"/>
    <w:rsid w:val="006B7D01"/>
    <w:rsid w:val="006B7DCC"/>
    <w:rsid w:val="006B7F43"/>
    <w:rsid w:val="006C01E5"/>
    <w:rsid w:val="006C0487"/>
    <w:rsid w:val="006C0547"/>
    <w:rsid w:val="006C0739"/>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1FA3"/>
    <w:rsid w:val="006D22BA"/>
    <w:rsid w:val="006D270C"/>
    <w:rsid w:val="006D2D01"/>
    <w:rsid w:val="006D3288"/>
    <w:rsid w:val="006D3886"/>
    <w:rsid w:val="006D39AD"/>
    <w:rsid w:val="006D39E9"/>
    <w:rsid w:val="006D3D7B"/>
    <w:rsid w:val="006D3DCC"/>
    <w:rsid w:val="006D3F14"/>
    <w:rsid w:val="006D40E1"/>
    <w:rsid w:val="006D416C"/>
    <w:rsid w:val="006D4517"/>
    <w:rsid w:val="006D472A"/>
    <w:rsid w:val="006D4C8A"/>
    <w:rsid w:val="006D4D64"/>
    <w:rsid w:val="006D4D69"/>
    <w:rsid w:val="006D4EBD"/>
    <w:rsid w:val="006D503A"/>
    <w:rsid w:val="006D5122"/>
    <w:rsid w:val="006D53AC"/>
    <w:rsid w:val="006D552E"/>
    <w:rsid w:val="006D5732"/>
    <w:rsid w:val="006D5BEF"/>
    <w:rsid w:val="006D5FDC"/>
    <w:rsid w:val="006D610E"/>
    <w:rsid w:val="006D6322"/>
    <w:rsid w:val="006D63B5"/>
    <w:rsid w:val="006D6768"/>
    <w:rsid w:val="006D6B98"/>
    <w:rsid w:val="006D6FC7"/>
    <w:rsid w:val="006D7687"/>
    <w:rsid w:val="006D7A91"/>
    <w:rsid w:val="006D7E9A"/>
    <w:rsid w:val="006D7F3A"/>
    <w:rsid w:val="006E02DF"/>
    <w:rsid w:val="006E04D4"/>
    <w:rsid w:val="006E0699"/>
    <w:rsid w:val="006E0979"/>
    <w:rsid w:val="006E09F2"/>
    <w:rsid w:val="006E0A36"/>
    <w:rsid w:val="006E0B67"/>
    <w:rsid w:val="006E0CB0"/>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7269"/>
    <w:rsid w:val="006E7432"/>
    <w:rsid w:val="006E754C"/>
    <w:rsid w:val="006E7568"/>
    <w:rsid w:val="006E7631"/>
    <w:rsid w:val="006E779C"/>
    <w:rsid w:val="006E79B2"/>
    <w:rsid w:val="006E7A1A"/>
    <w:rsid w:val="006E7A61"/>
    <w:rsid w:val="006E7DA5"/>
    <w:rsid w:val="006F032E"/>
    <w:rsid w:val="006F0342"/>
    <w:rsid w:val="006F0476"/>
    <w:rsid w:val="006F0881"/>
    <w:rsid w:val="006F09C1"/>
    <w:rsid w:val="006F0A61"/>
    <w:rsid w:val="006F0B09"/>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167"/>
    <w:rsid w:val="006F2386"/>
    <w:rsid w:val="006F2565"/>
    <w:rsid w:val="006F288B"/>
    <w:rsid w:val="006F289F"/>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041"/>
    <w:rsid w:val="0070019E"/>
    <w:rsid w:val="0070034B"/>
    <w:rsid w:val="00700AF3"/>
    <w:rsid w:val="00700BE2"/>
    <w:rsid w:val="0070138A"/>
    <w:rsid w:val="007018DF"/>
    <w:rsid w:val="00701ACD"/>
    <w:rsid w:val="00701B31"/>
    <w:rsid w:val="00701DC6"/>
    <w:rsid w:val="00702013"/>
    <w:rsid w:val="00702276"/>
    <w:rsid w:val="00702820"/>
    <w:rsid w:val="0070283A"/>
    <w:rsid w:val="00702A4F"/>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64E"/>
    <w:rsid w:val="00706706"/>
    <w:rsid w:val="00707064"/>
    <w:rsid w:val="007079AF"/>
    <w:rsid w:val="00707D23"/>
    <w:rsid w:val="00707D3A"/>
    <w:rsid w:val="00707DC4"/>
    <w:rsid w:val="00707DE2"/>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7A"/>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1E00"/>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968"/>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1C"/>
    <w:rsid w:val="00742B21"/>
    <w:rsid w:val="00742E00"/>
    <w:rsid w:val="00742E69"/>
    <w:rsid w:val="00742E70"/>
    <w:rsid w:val="007430F7"/>
    <w:rsid w:val="007433E0"/>
    <w:rsid w:val="0074377F"/>
    <w:rsid w:val="00743EDC"/>
    <w:rsid w:val="0074405E"/>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5E4"/>
    <w:rsid w:val="00747689"/>
    <w:rsid w:val="00747CE1"/>
    <w:rsid w:val="00747F1C"/>
    <w:rsid w:val="0075000C"/>
    <w:rsid w:val="007503B9"/>
    <w:rsid w:val="007506E8"/>
    <w:rsid w:val="0075072D"/>
    <w:rsid w:val="00750EDE"/>
    <w:rsid w:val="007519CB"/>
    <w:rsid w:val="00751C64"/>
    <w:rsid w:val="007521A0"/>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3B9"/>
    <w:rsid w:val="00766BBC"/>
    <w:rsid w:val="00767050"/>
    <w:rsid w:val="00767079"/>
    <w:rsid w:val="007673B2"/>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E3"/>
    <w:rsid w:val="007721F2"/>
    <w:rsid w:val="007722C8"/>
    <w:rsid w:val="0077247B"/>
    <w:rsid w:val="007726E4"/>
    <w:rsid w:val="007728EA"/>
    <w:rsid w:val="00772B96"/>
    <w:rsid w:val="00772BC3"/>
    <w:rsid w:val="00772EE9"/>
    <w:rsid w:val="00773001"/>
    <w:rsid w:val="007731ED"/>
    <w:rsid w:val="00773BC6"/>
    <w:rsid w:val="00773E86"/>
    <w:rsid w:val="00774029"/>
    <w:rsid w:val="00774684"/>
    <w:rsid w:val="00774723"/>
    <w:rsid w:val="00774918"/>
    <w:rsid w:val="00774B66"/>
    <w:rsid w:val="00774DEA"/>
    <w:rsid w:val="00774FB5"/>
    <w:rsid w:val="00775151"/>
    <w:rsid w:val="007751E2"/>
    <w:rsid w:val="007755FD"/>
    <w:rsid w:val="007756B1"/>
    <w:rsid w:val="007757D2"/>
    <w:rsid w:val="00775C1D"/>
    <w:rsid w:val="00775D10"/>
    <w:rsid w:val="00776475"/>
    <w:rsid w:val="007764BF"/>
    <w:rsid w:val="007768F3"/>
    <w:rsid w:val="00776B4A"/>
    <w:rsid w:val="00776B60"/>
    <w:rsid w:val="00776BFA"/>
    <w:rsid w:val="00776D40"/>
    <w:rsid w:val="00776D92"/>
    <w:rsid w:val="00777130"/>
    <w:rsid w:val="007778C7"/>
    <w:rsid w:val="007778F6"/>
    <w:rsid w:val="007779A8"/>
    <w:rsid w:val="00777B8D"/>
    <w:rsid w:val="00777E07"/>
    <w:rsid w:val="00777F4C"/>
    <w:rsid w:val="0078010E"/>
    <w:rsid w:val="007806CB"/>
    <w:rsid w:val="007808C1"/>
    <w:rsid w:val="00780B3C"/>
    <w:rsid w:val="007812E2"/>
    <w:rsid w:val="00781BFB"/>
    <w:rsid w:val="00781C31"/>
    <w:rsid w:val="00781E5B"/>
    <w:rsid w:val="00781F02"/>
    <w:rsid w:val="00782038"/>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2"/>
    <w:rsid w:val="00785739"/>
    <w:rsid w:val="007858F5"/>
    <w:rsid w:val="00785CDB"/>
    <w:rsid w:val="00785E42"/>
    <w:rsid w:val="00785EA1"/>
    <w:rsid w:val="0078631A"/>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2F3E"/>
    <w:rsid w:val="007931BA"/>
    <w:rsid w:val="007932B3"/>
    <w:rsid w:val="00793483"/>
    <w:rsid w:val="0079368A"/>
    <w:rsid w:val="007936F7"/>
    <w:rsid w:val="00793720"/>
    <w:rsid w:val="00793B48"/>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05D"/>
    <w:rsid w:val="007B4325"/>
    <w:rsid w:val="007B440A"/>
    <w:rsid w:val="007B446A"/>
    <w:rsid w:val="007B4755"/>
    <w:rsid w:val="007B4852"/>
    <w:rsid w:val="007B49F3"/>
    <w:rsid w:val="007B4A33"/>
    <w:rsid w:val="007B4C00"/>
    <w:rsid w:val="007B512A"/>
    <w:rsid w:val="007B5649"/>
    <w:rsid w:val="007B5967"/>
    <w:rsid w:val="007B5C8F"/>
    <w:rsid w:val="007B5CF5"/>
    <w:rsid w:val="007B5DA7"/>
    <w:rsid w:val="007B6720"/>
    <w:rsid w:val="007B68E5"/>
    <w:rsid w:val="007B6FBF"/>
    <w:rsid w:val="007B7116"/>
    <w:rsid w:val="007B7148"/>
    <w:rsid w:val="007B72D4"/>
    <w:rsid w:val="007B736F"/>
    <w:rsid w:val="007B744C"/>
    <w:rsid w:val="007B74F1"/>
    <w:rsid w:val="007B7C8D"/>
    <w:rsid w:val="007B7DF2"/>
    <w:rsid w:val="007B7E5D"/>
    <w:rsid w:val="007C06BD"/>
    <w:rsid w:val="007C12AC"/>
    <w:rsid w:val="007C1493"/>
    <w:rsid w:val="007C1ABF"/>
    <w:rsid w:val="007C2045"/>
    <w:rsid w:val="007C2057"/>
    <w:rsid w:val="007C2115"/>
    <w:rsid w:val="007C226C"/>
    <w:rsid w:val="007C2A6E"/>
    <w:rsid w:val="007C30C4"/>
    <w:rsid w:val="007C30E2"/>
    <w:rsid w:val="007C31E4"/>
    <w:rsid w:val="007C33FB"/>
    <w:rsid w:val="007C343C"/>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8B"/>
    <w:rsid w:val="007C50C2"/>
    <w:rsid w:val="007C552F"/>
    <w:rsid w:val="007C6802"/>
    <w:rsid w:val="007C6817"/>
    <w:rsid w:val="007C68D8"/>
    <w:rsid w:val="007C6904"/>
    <w:rsid w:val="007C6ADB"/>
    <w:rsid w:val="007C6B55"/>
    <w:rsid w:val="007C722F"/>
    <w:rsid w:val="007C773A"/>
    <w:rsid w:val="007C774A"/>
    <w:rsid w:val="007C7B6E"/>
    <w:rsid w:val="007C7DB3"/>
    <w:rsid w:val="007D083E"/>
    <w:rsid w:val="007D09A5"/>
    <w:rsid w:val="007D10FB"/>
    <w:rsid w:val="007D1453"/>
    <w:rsid w:val="007D1671"/>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4DEC"/>
    <w:rsid w:val="007D5023"/>
    <w:rsid w:val="007D505A"/>
    <w:rsid w:val="007D54F5"/>
    <w:rsid w:val="007D588F"/>
    <w:rsid w:val="007D5B33"/>
    <w:rsid w:val="007D5BC6"/>
    <w:rsid w:val="007D5CB7"/>
    <w:rsid w:val="007D5E0A"/>
    <w:rsid w:val="007D5EF8"/>
    <w:rsid w:val="007D619F"/>
    <w:rsid w:val="007D6499"/>
    <w:rsid w:val="007D64D9"/>
    <w:rsid w:val="007D6657"/>
    <w:rsid w:val="007D6678"/>
    <w:rsid w:val="007D6765"/>
    <w:rsid w:val="007D6BB2"/>
    <w:rsid w:val="007D6C1E"/>
    <w:rsid w:val="007D7072"/>
    <w:rsid w:val="007D72BB"/>
    <w:rsid w:val="007D73E0"/>
    <w:rsid w:val="007D76E8"/>
    <w:rsid w:val="007D7F69"/>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77F"/>
    <w:rsid w:val="007E4B12"/>
    <w:rsid w:val="007E54A1"/>
    <w:rsid w:val="007E5688"/>
    <w:rsid w:val="007E5D75"/>
    <w:rsid w:val="007E6913"/>
    <w:rsid w:val="007E6AEF"/>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650"/>
    <w:rsid w:val="007F2759"/>
    <w:rsid w:val="007F2796"/>
    <w:rsid w:val="007F2BA1"/>
    <w:rsid w:val="007F2DCA"/>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B"/>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3F25"/>
    <w:rsid w:val="00804008"/>
    <w:rsid w:val="008044B5"/>
    <w:rsid w:val="0080487B"/>
    <w:rsid w:val="00804A7D"/>
    <w:rsid w:val="008050A0"/>
    <w:rsid w:val="00805611"/>
    <w:rsid w:val="00805859"/>
    <w:rsid w:val="00805B01"/>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EAB"/>
    <w:rsid w:val="00812EE8"/>
    <w:rsid w:val="00812F4D"/>
    <w:rsid w:val="00812F62"/>
    <w:rsid w:val="00812F71"/>
    <w:rsid w:val="00813597"/>
    <w:rsid w:val="008139A5"/>
    <w:rsid w:val="00813ABD"/>
    <w:rsid w:val="00813FF6"/>
    <w:rsid w:val="00814156"/>
    <w:rsid w:val="00814169"/>
    <w:rsid w:val="00814242"/>
    <w:rsid w:val="00814253"/>
    <w:rsid w:val="0081430C"/>
    <w:rsid w:val="00814378"/>
    <w:rsid w:val="00814511"/>
    <w:rsid w:val="00814910"/>
    <w:rsid w:val="00814922"/>
    <w:rsid w:val="008149BF"/>
    <w:rsid w:val="0081628F"/>
    <w:rsid w:val="008162F5"/>
    <w:rsid w:val="00816659"/>
    <w:rsid w:val="00816A04"/>
    <w:rsid w:val="00816B01"/>
    <w:rsid w:val="00816BC5"/>
    <w:rsid w:val="00816C88"/>
    <w:rsid w:val="00816E61"/>
    <w:rsid w:val="00816F13"/>
    <w:rsid w:val="00817094"/>
    <w:rsid w:val="008173E2"/>
    <w:rsid w:val="00817AB8"/>
    <w:rsid w:val="00817E59"/>
    <w:rsid w:val="008204D1"/>
    <w:rsid w:val="008207C9"/>
    <w:rsid w:val="00820861"/>
    <w:rsid w:val="00820D40"/>
    <w:rsid w:val="00820FD5"/>
    <w:rsid w:val="0082100F"/>
    <w:rsid w:val="0082119A"/>
    <w:rsid w:val="0082133B"/>
    <w:rsid w:val="0082158C"/>
    <w:rsid w:val="00821799"/>
    <w:rsid w:val="00821832"/>
    <w:rsid w:val="00821CAD"/>
    <w:rsid w:val="00821D6C"/>
    <w:rsid w:val="0082206F"/>
    <w:rsid w:val="008220FE"/>
    <w:rsid w:val="008222C0"/>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BE1"/>
    <w:rsid w:val="00823C44"/>
    <w:rsid w:val="00823D2B"/>
    <w:rsid w:val="00824349"/>
    <w:rsid w:val="008243D0"/>
    <w:rsid w:val="00824613"/>
    <w:rsid w:val="00824BA1"/>
    <w:rsid w:val="008250D6"/>
    <w:rsid w:val="0082512C"/>
    <w:rsid w:val="00825247"/>
    <w:rsid w:val="008256A8"/>
    <w:rsid w:val="0082587F"/>
    <w:rsid w:val="008258B3"/>
    <w:rsid w:val="00825BC3"/>
    <w:rsid w:val="00825BD6"/>
    <w:rsid w:val="00825C3F"/>
    <w:rsid w:val="00826226"/>
    <w:rsid w:val="0082629B"/>
    <w:rsid w:val="008263B0"/>
    <w:rsid w:val="008266E9"/>
    <w:rsid w:val="0082675E"/>
    <w:rsid w:val="0082676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327"/>
    <w:rsid w:val="0083056C"/>
    <w:rsid w:val="0083078B"/>
    <w:rsid w:val="00830928"/>
    <w:rsid w:val="00830B22"/>
    <w:rsid w:val="00831166"/>
    <w:rsid w:val="0083129F"/>
    <w:rsid w:val="00831449"/>
    <w:rsid w:val="008314E8"/>
    <w:rsid w:val="008316E1"/>
    <w:rsid w:val="008318E1"/>
    <w:rsid w:val="00831BAB"/>
    <w:rsid w:val="00831BD4"/>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B"/>
    <w:rsid w:val="00833B69"/>
    <w:rsid w:val="00833C0B"/>
    <w:rsid w:val="00833C83"/>
    <w:rsid w:val="00833C89"/>
    <w:rsid w:val="00833EBE"/>
    <w:rsid w:val="00833FC7"/>
    <w:rsid w:val="008341DD"/>
    <w:rsid w:val="00834247"/>
    <w:rsid w:val="0083473E"/>
    <w:rsid w:val="00834920"/>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58F"/>
    <w:rsid w:val="00842658"/>
    <w:rsid w:val="0084279E"/>
    <w:rsid w:val="00842B97"/>
    <w:rsid w:val="00842F5B"/>
    <w:rsid w:val="008433FF"/>
    <w:rsid w:val="008439BE"/>
    <w:rsid w:val="00843B30"/>
    <w:rsid w:val="00843B67"/>
    <w:rsid w:val="00843BB4"/>
    <w:rsid w:val="00844185"/>
    <w:rsid w:val="0084422A"/>
    <w:rsid w:val="0084454C"/>
    <w:rsid w:val="00845333"/>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4A"/>
    <w:rsid w:val="008537FC"/>
    <w:rsid w:val="00853835"/>
    <w:rsid w:val="00854856"/>
    <w:rsid w:val="008548DC"/>
    <w:rsid w:val="00854CD8"/>
    <w:rsid w:val="00855196"/>
    <w:rsid w:val="008553CF"/>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3DE"/>
    <w:rsid w:val="00860497"/>
    <w:rsid w:val="00860D80"/>
    <w:rsid w:val="00860FD3"/>
    <w:rsid w:val="008616B9"/>
    <w:rsid w:val="008616E2"/>
    <w:rsid w:val="00861D96"/>
    <w:rsid w:val="008622AC"/>
    <w:rsid w:val="008626D5"/>
    <w:rsid w:val="0086280D"/>
    <w:rsid w:val="00862B31"/>
    <w:rsid w:val="0086373B"/>
    <w:rsid w:val="008638D8"/>
    <w:rsid w:val="00863A13"/>
    <w:rsid w:val="00864366"/>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AE2"/>
    <w:rsid w:val="00870BFC"/>
    <w:rsid w:val="00870D70"/>
    <w:rsid w:val="00870F3C"/>
    <w:rsid w:val="00871033"/>
    <w:rsid w:val="008711D2"/>
    <w:rsid w:val="0087144F"/>
    <w:rsid w:val="00871577"/>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032"/>
    <w:rsid w:val="008756ED"/>
    <w:rsid w:val="00875F95"/>
    <w:rsid w:val="008762CC"/>
    <w:rsid w:val="00876C63"/>
    <w:rsid w:val="00876C8F"/>
    <w:rsid w:val="00876D09"/>
    <w:rsid w:val="00876D44"/>
    <w:rsid w:val="00876ED5"/>
    <w:rsid w:val="0087715A"/>
    <w:rsid w:val="008771CA"/>
    <w:rsid w:val="0087737D"/>
    <w:rsid w:val="00877386"/>
    <w:rsid w:val="0087740D"/>
    <w:rsid w:val="00877CBB"/>
    <w:rsid w:val="00877D64"/>
    <w:rsid w:val="00877DC6"/>
    <w:rsid w:val="008809A6"/>
    <w:rsid w:val="00880D5B"/>
    <w:rsid w:val="00881226"/>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C91"/>
    <w:rsid w:val="00885D0C"/>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1CB3"/>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5D"/>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41F"/>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9C5"/>
    <w:rsid w:val="008B7AE5"/>
    <w:rsid w:val="008B7E87"/>
    <w:rsid w:val="008C0967"/>
    <w:rsid w:val="008C0AD5"/>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4DF"/>
    <w:rsid w:val="008C468C"/>
    <w:rsid w:val="008C53F3"/>
    <w:rsid w:val="008C54AF"/>
    <w:rsid w:val="008C56A0"/>
    <w:rsid w:val="008C56CE"/>
    <w:rsid w:val="008C5F20"/>
    <w:rsid w:val="008C5F2C"/>
    <w:rsid w:val="008C5FA0"/>
    <w:rsid w:val="008C6004"/>
    <w:rsid w:val="008C6154"/>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3BB9"/>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59A"/>
    <w:rsid w:val="008E06EE"/>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436"/>
    <w:rsid w:val="008E351C"/>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AD"/>
    <w:rsid w:val="008F18C9"/>
    <w:rsid w:val="008F1943"/>
    <w:rsid w:val="008F1DD5"/>
    <w:rsid w:val="008F1F10"/>
    <w:rsid w:val="008F2055"/>
    <w:rsid w:val="008F2088"/>
    <w:rsid w:val="008F219C"/>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839"/>
    <w:rsid w:val="008F797E"/>
    <w:rsid w:val="008F7CD0"/>
    <w:rsid w:val="008F7E5A"/>
    <w:rsid w:val="008F7E67"/>
    <w:rsid w:val="008F7F28"/>
    <w:rsid w:val="009002D6"/>
    <w:rsid w:val="009005A1"/>
    <w:rsid w:val="00900ECE"/>
    <w:rsid w:val="00901A6D"/>
    <w:rsid w:val="009022EE"/>
    <w:rsid w:val="00902670"/>
    <w:rsid w:val="009029D6"/>
    <w:rsid w:val="00902D85"/>
    <w:rsid w:val="00902EE1"/>
    <w:rsid w:val="00902EF2"/>
    <w:rsid w:val="00903009"/>
    <w:rsid w:val="009031F0"/>
    <w:rsid w:val="0090355B"/>
    <w:rsid w:val="009035C5"/>
    <w:rsid w:val="00903654"/>
    <w:rsid w:val="00903DF6"/>
    <w:rsid w:val="0090414C"/>
    <w:rsid w:val="00904452"/>
    <w:rsid w:val="00904519"/>
    <w:rsid w:val="009046F4"/>
    <w:rsid w:val="00904758"/>
    <w:rsid w:val="009049DB"/>
    <w:rsid w:val="00904F80"/>
    <w:rsid w:val="009050A9"/>
    <w:rsid w:val="009051C8"/>
    <w:rsid w:val="009053C5"/>
    <w:rsid w:val="00905409"/>
    <w:rsid w:val="00905879"/>
    <w:rsid w:val="0090593A"/>
    <w:rsid w:val="00905B1B"/>
    <w:rsid w:val="009062AC"/>
    <w:rsid w:val="009068B2"/>
    <w:rsid w:val="00906B1A"/>
    <w:rsid w:val="00906C2B"/>
    <w:rsid w:val="0090710A"/>
    <w:rsid w:val="009072DF"/>
    <w:rsid w:val="00907395"/>
    <w:rsid w:val="009073B0"/>
    <w:rsid w:val="0090744F"/>
    <w:rsid w:val="00907F7F"/>
    <w:rsid w:val="00910004"/>
    <w:rsid w:val="009100FA"/>
    <w:rsid w:val="009103AF"/>
    <w:rsid w:val="009103F5"/>
    <w:rsid w:val="00910E33"/>
    <w:rsid w:val="00911732"/>
    <w:rsid w:val="009118A8"/>
    <w:rsid w:val="009119BE"/>
    <w:rsid w:val="00911C74"/>
    <w:rsid w:val="00911CEE"/>
    <w:rsid w:val="00911D07"/>
    <w:rsid w:val="00911FAE"/>
    <w:rsid w:val="00912125"/>
    <w:rsid w:val="009122BC"/>
    <w:rsid w:val="00912752"/>
    <w:rsid w:val="0091285D"/>
    <w:rsid w:val="00912C3E"/>
    <w:rsid w:val="00912DA9"/>
    <w:rsid w:val="00912FF9"/>
    <w:rsid w:val="009136CB"/>
    <w:rsid w:val="00913885"/>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6AC2"/>
    <w:rsid w:val="009170A2"/>
    <w:rsid w:val="00917166"/>
    <w:rsid w:val="009172F3"/>
    <w:rsid w:val="009173E2"/>
    <w:rsid w:val="0091792E"/>
    <w:rsid w:val="00917C96"/>
    <w:rsid w:val="0092039D"/>
    <w:rsid w:val="00920974"/>
    <w:rsid w:val="00920BD9"/>
    <w:rsid w:val="00920E0C"/>
    <w:rsid w:val="00920E9F"/>
    <w:rsid w:val="00920F29"/>
    <w:rsid w:val="00920F2B"/>
    <w:rsid w:val="00920F68"/>
    <w:rsid w:val="00921088"/>
    <w:rsid w:val="009210B6"/>
    <w:rsid w:val="009210C3"/>
    <w:rsid w:val="00921417"/>
    <w:rsid w:val="0092164D"/>
    <w:rsid w:val="00921DF3"/>
    <w:rsid w:val="009222D0"/>
    <w:rsid w:val="0092237B"/>
    <w:rsid w:val="00922544"/>
    <w:rsid w:val="00922666"/>
    <w:rsid w:val="00922D7C"/>
    <w:rsid w:val="00922E81"/>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A16"/>
    <w:rsid w:val="00937B70"/>
    <w:rsid w:val="00937F85"/>
    <w:rsid w:val="00937F89"/>
    <w:rsid w:val="00940279"/>
    <w:rsid w:val="00940471"/>
    <w:rsid w:val="0094074A"/>
    <w:rsid w:val="009407AD"/>
    <w:rsid w:val="00941153"/>
    <w:rsid w:val="00941191"/>
    <w:rsid w:val="009411FF"/>
    <w:rsid w:val="009413CB"/>
    <w:rsid w:val="00941552"/>
    <w:rsid w:val="009415E7"/>
    <w:rsid w:val="00941B0D"/>
    <w:rsid w:val="00941B61"/>
    <w:rsid w:val="00941C37"/>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E39"/>
    <w:rsid w:val="009501DB"/>
    <w:rsid w:val="009507B7"/>
    <w:rsid w:val="009508E1"/>
    <w:rsid w:val="009508FB"/>
    <w:rsid w:val="00950B71"/>
    <w:rsid w:val="00950BB4"/>
    <w:rsid w:val="00950F90"/>
    <w:rsid w:val="009510C4"/>
    <w:rsid w:val="0095124A"/>
    <w:rsid w:val="0095125D"/>
    <w:rsid w:val="0095131D"/>
    <w:rsid w:val="009517C9"/>
    <w:rsid w:val="00951A9B"/>
    <w:rsid w:val="00951BDB"/>
    <w:rsid w:val="00951C05"/>
    <w:rsid w:val="00951C21"/>
    <w:rsid w:val="00951CB7"/>
    <w:rsid w:val="00951CDA"/>
    <w:rsid w:val="0095273A"/>
    <w:rsid w:val="00952A00"/>
    <w:rsid w:val="00952C00"/>
    <w:rsid w:val="00952DFC"/>
    <w:rsid w:val="009532B9"/>
    <w:rsid w:val="00953334"/>
    <w:rsid w:val="00953480"/>
    <w:rsid w:val="00953779"/>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66A"/>
    <w:rsid w:val="00960966"/>
    <w:rsid w:val="00960A6A"/>
    <w:rsid w:val="00960D8D"/>
    <w:rsid w:val="00960EED"/>
    <w:rsid w:val="009612A1"/>
    <w:rsid w:val="009614E9"/>
    <w:rsid w:val="0096152B"/>
    <w:rsid w:val="009616D4"/>
    <w:rsid w:val="00961975"/>
    <w:rsid w:val="00961993"/>
    <w:rsid w:val="0096295E"/>
    <w:rsid w:val="00962E75"/>
    <w:rsid w:val="00962F11"/>
    <w:rsid w:val="00963ED0"/>
    <w:rsid w:val="00963FDC"/>
    <w:rsid w:val="00964159"/>
    <w:rsid w:val="00964268"/>
    <w:rsid w:val="009643D5"/>
    <w:rsid w:val="00964577"/>
    <w:rsid w:val="00964612"/>
    <w:rsid w:val="0096472A"/>
    <w:rsid w:val="0096483A"/>
    <w:rsid w:val="00964AF6"/>
    <w:rsid w:val="00964DEA"/>
    <w:rsid w:val="00965202"/>
    <w:rsid w:val="0096558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2A"/>
    <w:rsid w:val="009678D1"/>
    <w:rsid w:val="009678F5"/>
    <w:rsid w:val="00967BBC"/>
    <w:rsid w:val="0097047F"/>
    <w:rsid w:val="00970971"/>
    <w:rsid w:val="00970A52"/>
    <w:rsid w:val="00970A78"/>
    <w:rsid w:val="00970CBC"/>
    <w:rsid w:val="00970D1E"/>
    <w:rsid w:val="0097109E"/>
    <w:rsid w:val="00971124"/>
    <w:rsid w:val="00971330"/>
    <w:rsid w:val="0097133E"/>
    <w:rsid w:val="00971E69"/>
    <w:rsid w:val="009723E0"/>
    <w:rsid w:val="009726C2"/>
    <w:rsid w:val="00972828"/>
    <w:rsid w:val="00972842"/>
    <w:rsid w:val="0097299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1A1"/>
    <w:rsid w:val="009764D3"/>
    <w:rsid w:val="009766C9"/>
    <w:rsid w:val="00976BA0"/>
    <w:rsid w:val="00976DAE"/>
    <w:rsid w:val="0097753E"/>
    <w:rsid w:val="0097770B"/>
    <w:rsid w:val="0097787C"/>
    <w:rsid w:val="00980067"/>
    <w:rsid w:val="009801ED"/>
    <w:rsid w:val="0098039E"/>
    <w:rsid w:val="00980C9D"/>
    <w:rsid w:val="00980D1A"/>
    <w:rsid w:val="00980D6D"/>
    <w:rsid w:val="00981512"/>
    <w:rsid w:val="00981627"/>
    <w:rsid w:val="009817AE"/>
    <w:rsid w:val="00981A59"/>
    <w:rsid w:val="00981B7A"/>
    <w:rsid w:val="00981D25"/>
    <w:rsid w:val="00982124"/>
    <w:rsid w:val="00982731"/>
    <w:rsid w:val="0098280D"/>
    <w:rsid w:val="00982846"/>
    <w:rsid w:val="00982B90"/>
    <w:rsid w:val="00982E36"/>
    <w:rsid w:val="00983050"/>
    <w:rsid w:val="00983086"/>
    <w:rsid w:val="00983665"/>
    <w:rsid w:val="00983BA2"/>
    <w:rsid w:val="00983E2D"/>
    <w:rsid w:val="00984264"/>
    <w:rsid w:val="009843C8"/>
    <w:rsid w:val="009844E2"/>
    <w:rsid w:val="00984F0D"/>
    <w:rsid w:val="00984F3E"/>
    <w:rsid w:val="009855CA"/>
    <w:rsid w:val="00985776"/>
    <w:rsid w:val="0098588E"/>
    <w:rsid w:val="009859AE"/>
    <w:rsid w:val="00985DB1"/>
    <w:rsid w:val="00985DB5"/>
    <w:rsid w:val="009863BF"/>
    <w:rsid w:val="00986575"/>
    <w:rsid w:val="00986620"/>
    <w:rsid w:val="00986F1D"/>
    <w:rsid w:val="0098702C"/>
    <w:rsid w:val="00987371"/>
    <w:rsid w:val="009876AF"/>
    <w:rsid w:val="009876D8"/>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BD4"/>
    <w:rsid w:val="00992DE3"/>
    <w:rsid w:val="00992F7D"/>
    <w:rsid w:val="00992FD0"/>
    <w:rsid w:val="00993029"/>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CF0"/>
    <w:rsid w:val="009A3D84"/>
    <w:rsid w:val="009A46E5"/>
    <w:rsid w:val="009A4A80"/>
    <w:rsid w:val="009A4BC4"/>
    <w:rsid w:val="009A4BDB"/>
    <w:rsid w:val="009A4EEE"/>
    <w:rsid w:val="009A4F81"/>
    <w:rsid w:val="009A5309"/>
    <w:rsid w:val="009A56F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9FC"/>
    <w:rsid w:val="009B2BFE"/>
    <w:rsid w:val="009B2DAC"/>
    <w:rsid w:val="009B2F3B"/>
    <w:rsid w:val="009B3049"/>
    <w:rsid w:val="009B3144"/>
    <w:rsid w:val="009B32D4"/>
    <w:rsid w:val="009B3399"/>
    <w:rsid w:val="009B3419"/>
    <w:rsid w:val="009B3425"/>
    <w:rsid w:val="009B350B"/>
    <w:rsid w:val="009B380B"/>
    <w:rsid w:val="009B3B02"/>
    <w:rsid w:val="009B3B31"/>
    <w:rsid w:val="009B3D69"/>
    <w:rsid w:val="009B42A4"/>
    <w:rsid w:val="009B430D"/>
    <w:rsid w:val="009B45FC"/>
    <w:rsid w:val="009B4CE1"/>
    <w:rsid w:val="009B4D06"/>
    <w:rsid w:val="009B4F35"/>
    <w:rsid w:val="009B5128"/>
    <w:rsid w:val="009B514A"/>
    <w:rsid w:val="009B5222"/>
    <w:rsid w:val="009B52C5"/>
    <w:rsid w:val="009B54E5"/>
    <w:rsid w:val="009B569F"/>
    <w:rsid w:val="009B5981"/>
    <w:rsid w:val="009B5AC3"/>
    <w:rsid w:val="009B61E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094D"/>
    <w:rsid w:val="009C10A2"/>
    <w:rsid w:val="009C163E"/>
    <w:rsid w:val="009C1ADD"/>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D6"/>
    <w:rsid w:val="009C66AC"/>
    <w:rsid w:val="009C6E50"/>
    <w:rsid w:val="009C70BA"/>
    <w:rsid w:val="009C70DC"/>
    <w:rsid w:val="009C71D4"/>
    <w:rsid w:val="009C724D"/>
    <w:rsid w:val="009C7852"/>
    <w:rsid w:val="009C7C16"/>
    <w:rsid w:val="009C7E9A"/>
    <w:rsid w:val="009C7F08"/>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29"/>
    <w:rsid w:val="009D7711"/>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7A7"/>
    <w:rsid w:val="009E2A13"/>
    <w:rsid w:val="009E2A9F"/>
    <w:rsid w:val="009E2C1A"/>
    <w:rsid w:val="009E2C89"/>
    <w:rsid w:val="009E2DC0"/>
    <w:rsid w:val="009E2FCC"/>
    <w:rsid w:val="009E334B"/>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7EE"/>
    <w:rsid w:val="009E5F18"/>
    <w:rsid w:val="009E6BC6"/>
    <w:rsid w:val="009E6C00"/>
    <w:rsid w:val="009E6D0E"/>
    <w:rsid w:val="009E6DC2"/>
    <w:rsid w:val="009E6DC4"/>
    <w:rsid w:val="009E6E7A"/>
    <w:rsid w:val="009E7036"/>
    <w:rsid w:val="009E728B"/>
    <w:rsid w:val="009E7377"/>
    <w:rsid w:val="009E759F"/>
    <w:rsid w:val="009E79AF"/>
    <w:rsid w:val="009E7E35"/>
    <w:rsid w:val="009F01C7"/>
    <w:rsid w:val="009F04CA"/>
    <w:rsid w:val="009F0781"/>
    <w:rsid w:val="009F1094"/>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2A7"/>
    <w:rsid w:val="009F458D"/>
    <w:rsid w:val="009F47BC"/>
    <w:rsid w:val="009F4C27"/>
    <w:rsid w:val="009F4CC3"/>
    <w:rsid w:val="009F566E"/>
    <w:rsid w:val="009F583C"/>
    <w:rsid w:val="009F5C3D"/>
    <w:rsid w:val="009F60B3"/>
    <w:rsid w:val="009F6450"/>
    <w:rsid w:val="009F68B6"/>
    <w:rsid w:val="009F7264"/>
    <w:rsid w:val="009F7337"/>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86"/>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112"/>
    <w:rsid w:val="00A055A7"/>
    <w:rsid w:val="00A058AD"/>
    <w:rsid w:val="00A0590B"/>
    <w:rsid w:val="00A05CCF"/>
    <w:rsid w:val="00A0607E"/>
    <w:rsid w:val="00A061BE"/>
    <w:rsid w:val="00A0622B"/>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513"/>
    <w:rsid w:val="00A117A2"/>
    <w:rsid w:val="00A11976"/>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E8"/>
    <w:rsid w:val="00A15668"/>
    <w:rsid w:val="00A157A2"/>
    <w:rsid w:val="00A1586A"/>
    <w:rsid w:val="00A158A6"/>
    <w:rsid w:val="00A15925"/>
    <w:rsid w:val="00A15995"/>
    <w:rsid w:val="00A15A93"/>
    <w:rsid w:val="00A15D53"/>
    <w:rsid w:val="00A15DE5"/>
    <w:rsid w:val="00A15FC1"/>
    <w:rsid w:val="00A16333"/>
    <w:rsid w:val="00A16832"/>
    <w:rsid w:val="00A1693A"/>
    <w:rsid w:val="00A16971"/>
    <w:rsid w:val="00A16A4C"/>
    <w:rsid w:val="00A16E80"/>
    <w:rsid w:val="00A171B9"/>
    <w:rsid w:val="00A17FCC"/>
    <w:rsid w:val="00A2089C"/>
    <w:rsid w:val="00A208B8"/>
    <w:rsid w:val="00A209C2"/>
    <w:rsid w:val="00A20D2E"/>
    <w:rsid w:val="00A20EE3"/>
    <w:rsid w:val="00A21741"/>
    <w:rsid w:val="00A21868"/>
    <w:rsid w:val="00A21B43"/>
    <w:rsid w:val="00A21C30"/>
    <w:rsid w:val="00A21E12"/>
    <w:rsid w:val="00A21EDB"/>
    <w:rsid w:val="00A21FB9"/>
    <w:rsid w:val="00A22468"/>
    <w:rsid w:val="00A226E6"/>
    <w:rsid w:val="00A227CD"/>
    <w:rsid w:val="00A22C81"/>
    <w:rsid w:val="00A22D0D"/>
    <w:rsid w:val="00A22DF1"/>
    <w:rsid w:val="00A22E52"/>
    <w:rsid w:val="00A22EBA"/>
    <w:rsid w:val="00A232E7"/>
    <w:rsid w:val="00A233F2"/>
    <w:rsid w:val="00A23603"/>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5FB"/>
    <w:rsid w:val="00A31785"/>
    <w:rsid w:val="00A317FB"/>
    <w:rsid w:val="00A3180A"/>
    <w:rsid w:val="00A319A1"/>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897"/>
    <w:rsid w:val="00A579AA"/>
    <w:rsid w:val="00A57BEE"/>
    <w:rsid w:val="00A57E9F"/>
    <w:rsid w:val="00A57FE2"/>
    <w:rsid w:val="00A60071"/>
    <w:rsid w:val="00A60742"/>
    <w:rsid w:val="00A60C4D"/>
    <w:rsid w:val="00A60DAE"/>
    <w:rsid w:val="00A61357"/>
    <w:rsid w:val="00A618B3"/>
    <w:rsid w:val="00A61D78"/>
    <w:rsid w:val="00A61FBB"/>
    <w:rsid w:val="00A62023"/>
    <w:rsid w:val="00A62156"/>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1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EE5"/>
    <w:rsid w:val="00A66F29"/>
    <w:rsid w:val="00A67026"/>
    <w:rsid w:val="00A671CE"/>
    <w:rsid w:val="00A672DF"/>
    <w:rsid w:val="00A67488"/>
    <w:rsid w:val="00A67544"/>
    <w:rsid w:val="00A676B2"/>
    <w:rsid w:val="00A677DD"/>
    <w:rsid w:val="00A678D6"/>
    <w:rsid w:val="00A67960"/>
    <w:rsid w:val="00A67D6E"/>
    <w:rsid w:val="00A67E4A"/>
    <w:rsid w:val="00A7073C"/>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144"/>
    <w:rsid w:val="00A81743"/>
    <w:rsid w:val="00A819A1"/>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0DD"/>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4F78"/>
    <w:rsid w:val="00A85838"/>
    <w:rsid w:val="00A85F3A"/>
    <w:rsid w:val="00A863BB"/>
    <w:rsid w:val="00A863EE"/>
    <w:rsid w:val="00A8681C"/>
    <w:rsid w:val="00A86A11"/>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7D9"/>
    <w:rsid w:val="00AA1AD8"/>
    <w:rsid w:val="00AA1D2B"/>
    <w:rsid w:val="00AA230F"/>
    <w:rsid w:val="00AA23EB"/>
    <w:rsid w:val="00AA244A"/>
    <w:rsid w:val="00AA24F6"/>
    <w:rsid w:val="00AA25BE"/>
    <w:rsid w:val="00AA2784"/>
    <w:rsid w:val="00AA2E12"/>
    <w:rsid w:val="00AA2EE6"/>
    <w:rsid w:val="00AA3455"/>
    <w:rsid w:val="00AA35F0"/>
    <w:rsid w:val="00AA38A5"/>
    <w:rsid w:val="00AA3A7F"/>
    <w:rsid w:val="00AA3C48"/>
    <w:rsid w:val="00AA402C"/>
    <w:rsid w:val="00AA4126"/>
    <w:rsid w:val="00AA4C5E"/>
    <w:rsid w:val="00AA5688"/>
    <w:rsid w:val="00AA56E5"/>
    <w:rsid w:val="00AA6323"/>
    <w:rsid w:val="00AA6AF3"/>
    <w:rsid w:val="00AA6BE1"/>
    <w:rsid w:val="00AA6C99"/>
    <w:rsid w:val="00AA73DA"/>
    <w:rsid w:val="00AA7484"/>
    <w:rsid w:val="00AA7565"/>
    <w:rsid w:val="00AA7D24"/>
    <w:rsid w:val="00AA7DFA"/>
    <w:rsid w:val="00AA7E76"/>
    <w:rsid w:val="00AB0043"/>
    <w:rsid w:val="00AB0316"/>
    <w:rsid w:val="00AB057B"/>
    <w:rsid w:val="00AB07B8"/>
    <w:rsid w:val="00AB1126"/>
    <w:rsid w:val="00AB14D2"/>
    <w:rsid w:val="00AB14F0"/>
    <w:rsid w:val="00AB18C5"/>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BD"/>
    <w:rsid w:val="00AC1C27"/>
    <w:rsid w:val="00AC1E2A"/>
    <w:rsid w:val="00AC1E91"/>
    <w:rsid w:val="00AC1EE0"/>
    <w:rsid w:val="00AC2B26"/>
    <w:rsid w:val="00AC2C57"/>
    <w:rsid w:val="00AC3148"/>
    <w:rsid w:val="00AC32AC"/>
    <w:rsid w:val="00AC33D7"/>
    <w:rsid w:val="00AC36F5"/>
    <w:rsid w:val="00AC3800"/>
    <w:rsid w:val="00AC3B7D"/>
    <w:rsid w:val="00AC3CBF"/>
    <w:rsid w:val="00AC4067"/>
    <w:rsid w:val="00AC4188"/>
    <w:rsid w:val="00AC4402"/>
    <w:rsid w:val="00AC45D2"/>
    <w:rsid w:val="00AC4DF1"/>
    <w:rsid w:val="00AC4EEC"/>
    <w:rsid w:val="00AC5158"/>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6C8E"/>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38C"/>
    <w:rsid w:val="00AD262A"/>
    <w:rsid w:val="00AD26AA"/>
    <w:rsid w:val="00AD2750"/>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1B6"/>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15A"/>
    <w:rsid w:val="00AE2992"/>
    <w:rsid w:val="00AE2CC3"/>
    <w:rsid w:val="00AE2D01"/>
    <w:rsid w:val="00AE2D32"/>
    <w:rsid w:val="00AE2DC5"/>
    <w:rsid w:val="00AE2DCB"/>
    <w:rsid w:val="00AE2DDF"/>
    <w:rsid w:val="00AE2EAF"/>
    <w:rsid w:val="00AE30CF"/>
    <w:rsid w:val="00AE3514"/>
    <w:rsid w:val="00AE35F8"/>
    <w:rsid w:val="00AE3670"/>
    <w:rsid w:val="00AE387E"/>
    <w:rsid w:val="00AE3C77"/>
    <w:rsid w:val="00AE4202"/>
    <w:rsid w:val="00AE448B"/>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60F"/>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7E4"/>
    <w:rsid w:val="00AF7CD4"/>
    <w:rsid w:val="00AF7CFA"/>
    <w:rsid w:val="00B001C9"/>
    <w:rsid w:val="00B00341"/>
    <w:rsid w:val="00B00558"/>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17A"/>
    <w:rsid w:val="00B047B1"/>
    <w:rsid w:val="00B047BF"/>
    <w:rsid w:val="00B04956"/>
    <w:rsid w:val="00B04B70"/>
    <w:rsid w:val="00B04D45"/>
    <w:rsid w:val="00B0536A"/>
    <w:rsid w:val="00B05534"/>
    <w:rsid w:val="00B0578F"/>
    <w:rsid w:val="00B05E39"/>
    <w:rsid w:val="00B05E52"/>
    <w:rsid w:val="00B062CB"/>
    <w:rsid w:val="00B06306"/>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117"/>
    <w:rsid w:val="00B10909"/>
    <w:rsid w:val="00B10AAA"/>
    <w:rsid w:val="00B1104C"/>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81"/>
    <w:rsid w:val="00B15747"/>
    <w:rsid w:val="00B15ABB"/>
    <w:rsid w:val="00B15B9E"/>
    <w:rsid w:val="00B15E95"/>
    <w:rsid w:val="00B1666E"/>
    <w:rsid w:val="00B166EA"/>
    <w:rsid w:val="00B16A7A"/>
    <w:rsid w:val="00B16C48"/>
    <w:rsid w:val="00B16FD7"/>
    <w:rsid w:val="00B17062"/>
    <w:rsid w:val="00B172C5"/>
    <w:rsid w:val="00B174FB"/>
    <w:rsid w:val="00B176E8"/>
    <w:rsid w:val="00B178FE"/>
    <w:rsid w:val="00B17A0C"/>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146"/>
    <w:rsid w:val="00B2333A"/>
    <w:rsid w:val="00B23561"/>
    <w:rsid w:val="00B235F4"/>
    <w:rsid w:val="00B23CFB"/>
    <w:rsid w:val="00B24698"/>
    <w:rsid w:val="00B24DA3"/>
    <w:rsid w:val="00B24F6A"/>
    <w:rsid w:val="00B24FF5"/>
    <w:rsid w:val="00B25498"/>
    <w:rsid w:val="00B2572F"/>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C25"/>
    <w:rsid w:val="00B34FB1"/>
    <w:rsid w:val="00B3510A"/>
    <w:rsid w:val="00B3528D"/>
    <w:rsid w:val="00B3566E"/>
    <w:rsid w:val="00B35678"/>
    <w:rsid w:val="00B35CC0"/>
    <w:rsid w:val="00B35E69"/>
    <w:rsid w:val="00B3600F"/>
    <w:rsid w:val="00B362FE"/>
    <w:rsid w:val="00B36877"/>
    <w:rsid w:val="00B368C3"/>
    <w:rsid w:val="00B36E94"/>
    <w:rsid w:val="00B37160"/>
    <w:rsid w:val="00B37176"/>
    <w:rsid w:val="00B371BE"/>
    <w:rsid w:val="00B37267"/>
    <w:rsid w:val="00B3767C"/>
    <w:rsid w:val="00B40B8B"/>
    <w:rsid w:val="00B40DD4"/>
    <w:rsid w:val="00B4114F"/>
    <w:rsid w:val="00B41217"/>
    <w:rsid w:val="00B41993"/>
    <w:rsid w:val="00B41E05"/>
    <w:rsid w:val="00B41EFC"/>
    <w:rsid w:val="00B421D7"/>
    <w:rsid w:val="00B42614"/>
    <w:rsid w:val="00B42D10"/>
    <w:rsid w:val="00B42D5D"/>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57E"/>
    <w:rsid w:val="00B5161F"/>
    <w:rsid w:val="00B51688"/>
    <w:rsid w:val="00B516B8"/>
    <w:rsid w:val="00B51931"/>
    <w:rsid w:val="00B51961"/>
    <w:rsid w:val="00B51A54"/>
    <w:rsid w:val="00B51F12"/>
    <w:rsid w:val="00B51F28"/>
    <w:rsid w:val="00B52179"/>
    <w:rsid w:val="00B522F5"/>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3D83"/>
    <w:rsid w:val="00B545ED"/>
    <w:rsid w:val="00B54BFF"/>
    <w:rsid w:val="00B54E3B"/>
    <w:rsid w:val="00B55129"/>
    <w:rsid w:val="00B55338"/>
    <w:rsid w:val="00B557B2"/>
    <w:rsid w:val="00B558D8"/>
    <w:rsid w:val="00B559A9"/>
    <w:rsid w:val="00B55B33"/>
    <w:rsid w:val="00B55B49"/>
    <w:rsid w:val="00B55C0B"/>
    <w:rsid w:val="00B55E48"/>
    <w:rsid w:val="00B560B7"/>
    <w:rsid w:val="00B5652E"/>
    <w:rsid w:val="00B56695"/>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C5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9D7"/>
    <w:rsid w:val="00B67DA4"/>
    <w:rsid w:val="00B67E51"/>
    <w:rsid w:val="00B67EAD"/>
    <w:rsid w:val="00B67FC0"/>
    <w:rsid w:val="00B700F5"/>
    <w:rsid w:val="00B703B7"/>
    <w:rsid w:val="00B704CB"/>
    <w:rsid w:val="00B705D1"/>
    <w:rsid w:val="00B70DB2"/>
    <w:rsid w:val="00B70F44"/>
    <w:rsid w:val="00B7123F"/>
    <w:rsid w:val="00B71460"/>
    <w:rsid w:val="00B71581"/>
    <w:rsid w:val="00B718B2"/>
    <w:rsid w:val="00B71F0A"/>
    <w:rsid w:val="00B71F15"/>
    <w:rsid w:val="00B7221F"/>
    <w:rsid w:val="00B7234A"/>
    <w:rsid w:val="00B725C2"/>
    <w:rsid w:val="00B72644"/>
    <w:rsid w:val="00B729A3"/>
    <w:rsid w:val="00B733EA"/>
    <w:rsid w:val="00B738E4"/>
    <w:rsid w:val="00B74581"/>
    <w:rsid w:val="00B74B25"/>
    <w:rsid w:val="00B74D2E"/>
    <w:rsid w:val="00B7503A"/>
    <w:rsid w:val="00B75115"/>
    <w:rsid w:val="00B7529A"/>
    <w:rsid w:val="00B754F1"/>
    <w:rsid w:val="00B75A4C"/>
    <w:rsid w:val="00B75C2D"/>
    <w:rsid w:val="00B75CE0"/>
    <w:rsid w:val="00B75E3E"/>
    <w:rsid w:val="00B766EE"/>
    <w:rsid w:val="00B7682C"/>
    <w:rsid w:val="00B76A35"/>
    <w:rsid w:val="00B76CFB"/>
    <w:rsid w:val="00B7706B"/>
    <w:rsid w:val="00B772BC"/>
    <w:rsid w:val="00B77537"/>
    <w:rsid w:val="00B77C65"/>
    <w:rsid w:val="00B77F3E"/>
    <w:rsid w:val="00B801F4"/>
    <w:rsid w:val="00B8063A"/>
    <w:rsid w:val="00B807E0"/>
    <w:rsid w:val="00B808CE"/>
    <w:rsid w:val="00B80C84"/>
    <w:rsid w:val="00B80CC4"/>
    <w:rsid w:val="00B80DE6"/>
    <w:rsid w:val="00B80EB7"/>
    <w:rsid w:val="00B80FAA"/>
    <w:rsid w:val="00B80FF9"/>
    <w:rsid w:val="00B81109"/>
    <w:rsid w:val="00B8120E"/>
    <w:rsid w:val="00B81239"/>
    <w:rsid w:val="00B81837"/>
    <w:rsid w:val="00B819AC"/>
    <w:rsid w:val="00B81B65"/>
    <w:rsid w:val="00B81DE2"/>
    <w:rsid w:val="00B81EB6"/>
    <w:rsid w:val="00B8228A"/>
    <w:rsid w:val="00B82423"/>
    <w:rsid w:val="00B8244B"/>
    <w:rsid w:val="00B82661"/>
    <w:rsid w:val="00B82C94"/>
    <w:rsid w:val="00B82E23"/>
    <w:rsid w:val="00B832C6"/>
    <w:rsid w:val="00B83418"/>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260"/>
    <w:rsid w:val="00B85E14"/>
    <w:rsid w:val="00B85EC4"/>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BAB"/>
    <w:rsid w:val="00B92DF4"/>
    <w:rsid w:val="00B92FDF"/>
    <w:rsid w:val="00B93080"/>
    <w:rsid w:val="00B93244"/>
    <w:rsid w:val="00B935B0"/>
    <w:rsid w:val="00B93BE4"/>
    <w:rsid w:val="00B93D8B"/>
    <w:rsid w:val="00B94101"/>
    <w:rsid w:val="00B94406"/>
    <w:rsid w:val="00B94675"/>
    <w:rsid w:val="00B94733"/>
    <w:rsid w:val="00B94745"/>
    <w:rsid w:val="00B94DE3"/>
    <w:rsid w:val="00B94F8D"/>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18E"/>
    <w:rsid w:val="00B97216"/>
    <w:rsid w:val="00B972FA"/>
    <w:rsid w:val="00B974C8"/>
    <w:rsid w:val="00B975BB"/>
    <w:rsid w:val="00B97763"/>
    <w:rsid w:val="00B97795"/>
    <w:rsid w:val="00B9796B"/>
    <w:rsid w:val="00B97B1F"/>
    <w:rsid w:val="00B97C52"/>
    <w:rsid w:val="00B97C5D"/>
    <w:rsid w:val="00BA0041"/>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8E7"/>
    <w:rsid w:val="00BA4A56"/>
    <w:rsid w:val="00BA4B70"/>
    <w:rsid w:val="00BA4B78"/>
    <w:rsid w:val="00BA4DDA"/>
    <w:rsid w:val="00BA4F54"/>
    <w:rsid w:val="00BA4F8A"/>
    <w:rsid w:val="00BA4FB5"/>
    <w:rsid w:val="00BA519A"/>
    <w:rsid w:val="00BA5637"/>
    <w:rsid w:val="00BA5684"/>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CBA"/>
    <w:rsid w:val="00BB4D36"/>
    <w:rsid w:val="00BB4FE3"/>
    <w:rsid w:val="00BB50F9"/>
    <w:rsid w:val="00BB5209"/>
    <w:rsid w:val="00BB545E"/>
    <w:rsid w:val="00BB54A2"/>
    <w:rsid w:val="00BB5613"/>
    <w:rsid w:val="00BB5735"/>
    <w:rsid w:val="00BB5ABC"/>
    <w:rsid w:val="00BB5C2C"/>
    <w:rsid w:val="00BB5CC5"/>
    <w:rsid w:val="00BB5D44"/>
    <w:rsid w:val="00BB5EBA"/>
    <w:rsid w:val="00BB62EC"/>
    <w:rsid w:val="00BB6430"/>
    <w:rsid w:val="00BB68EA"/>
    <w:rsid w:val="00BB6A53"/>
    <w:rsid w:val="00BB6B00"/>
    <w:rsid w:val="00BB6B31"/>
    <w:rsid w:val="00BB6D3E"/>
    <w:rsid w:val="00BB714F"/>
    <w:rsid w:val="00BB7231"/>
    <w:rsid w:val="00BB7461"/>
    <w:rsid w:val="00BB78A3"/>
    <w:rsid w:val="00BB7A33"/>
    <w:rsid w:val="00BB7A4E"/>
    <w:rsid w:val="00BB7A61"/>
    <w:rsid w:val="00BB7B82"/>
    <w:rsid w:val="00BC0AB0"/>
    <w:rsid w:val="00BC0C2F"/>
    <w:rsid w:val="00BC1147"/>
    <w:rsid w:val="00BC15A4"/>
    <w:rsid w:val="00BC1C47"/>
    <w:rsid w:val="00BC1D20"/>
    <w:rsid w:val="00BC1E7F"/>
    <w:rsid w:val="00BC1FE9"/>
    <w:rsid w:val="00BC20F6"/>
    <w:rsid w:val="00BC213B"/>
    <w:rsid w:val="00BC24C9"/>
    <w:rsid w:val="00BC26EC"/>
    <w:rsid w:val="00BC2843"/>
    <w:rsid w:val="00BC2A4D"/>
    <w:rsid w:val="00BC2AD3"/>
    <w:rsid w:val="00BC2CF9"/>
    <w:rsid w:val="00BC2D76"/>
    <w:rsid w:val="00BC2F7D"/>
    <w:rsid w:val="00BC35B5"/>
    <w:rsid w:val="00BC3926"/>
    <w:rsid w:val="00BC39FF"/>
    <w:rsid w:val="00BC4269"/>
    <w:rsid w:val="00BC4373"/>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636"/>
    <w:rsid w:val="00BC7902"/>
    <w:rsid w:val="00BC7E65"/>
    <w:rsid w:val="00BC7E7A"/>
    <w:rsid w:val="00BD0835"/>
    <w:rsid w:val="00BD0D52"/>
    <w:rsid w:val="00BD0E0B"/>
    <w:rsid w:val="00BD0FDC"/>
    <w:rsid w:val="00BD14E9"/>
    <w:rsid w:val="00BD160C"/>
    <w:rsid w:val="00BD1B25"/>
    <w:rsid w:val="00BD1B30"/>
    <w:rsid w:val="00BD1CEC"/>
    <w:rsid w:val="00BD2579"/>
    <w:rsid w:val="00BD279D"/>
    <w:rsid w:val="00BD2AE9"/>
    <w:rsid w:val="00BD2DE6"/>
    <w:rsid w:val="00BD2E24"/>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44"/>
    <w:rsid w:val="00BE3BE3"/>
    <w:rsid w:val="00BE3C1C"/>
    <w:rsid w:val="00BE3C44"/>
    <w:rsid w:val="00BE410C"/>
    <w:rsid w:val="00BE4140"/>
    <w:rsid w:val="00BE4185"/>
    <w:rsid w:val="00BE4686"/>
    <w:rsid w:val="00BE49B8"/>
    <w:rsid w:val="00BE4ADF"/>
    <w:rsid w:val="00BE508B"/>
    <w:rsid w:val="00BE5092"/>
    <w:rsid w:val="00BE50CD"/>
    <w:rsid w:val="00BE5112"/>
    <w:rsid w:val="00BE52BB"/>
    <w:rsid w:val="00BE5436"/>
    <w:rsid w:val="00BE56D8"/>
    <w:rsid w:val="00BE5C18"/>
    <w:rsid w:val="00BE5E26"/>
    <w:rsid w:val="00BE602B"/>
    <w:rsid w:val="00BE614D"/>
    <w:rsid w:val="00BE6200"/>
    <w:rsid w:val="00BE6247"/>
    <w:rsid w:val="00BE66E3"/>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F004B"/>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2B0"/>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6DC7"/>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1B3B"/>
    <w:rsid w:val="00C020D9"/>
    <w:rsid w:val="00C029FD"/>
    <w:rsid w:val="00C02FDC"/>
    <w:rsid w:val="00C0405C"/>
    <w:rsid w:val="00C04139"/>
    <w:rsid w:val="00C042AF"/>
    <w:rsid w:val="00C04321"/>
    <w:rsid w:val="00C0433B"/>
    <w:rsid w:val="00C049E2"/>
    <w:rsid w:val="00C04C2B"/>
    <w:rsid w:val="00C04F70"/>
    <w:rsid w:val="00C05141"/>
    <w:rsid w:val="00C05508"/>
    <w:rsid w:val="00C055EF"/>
    <w:rsid w:val="00C05916"/>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2DD7"/>
    <w:rsid w:val="00C132DF"/>
    <w:rsid w:val="00C13371"/>
    <w:rsid w:val="00C133AE"/>
    <w:rsid w:val="00C133CB"/>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0A9"/>
    <w:rsid w:val="00C2210A"/>
    <w:rsid w:val="00C221BA"/>
    <w:rsid w:val="00C222BC"/>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84"/>
    <w:rsid w:val="00C306AC"/>
    <w:rsid w:val="00C30750"/>
    <w:rsid w:val="00C30897"/>
    <w:rsid w:val="00C30A7D"/>
    <w:rsid w:val="00C30CF3"/>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5A18"/>
    <w:rsid w:val="00C35ED4"/>
    <w:rsid w:val="00C36264"/>
    <w:rsid w:val="00C36523"/>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55"/>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AE6"/>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7F3"/>
    <w:rsid w:val="00C54BBD"/>
    <w:rsid w:val="00C54BEB"/>
    <w:rsid w:val="00C54C3F"/>
    <w:rsid w:val="00C54E29"/>
    <w:rsid w:val="00C550A9"/>
    <w:rsid w:val="00C550E6"/>
    <w:rsid w:val="00C55583"/>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3E"/>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85"/>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1F3"/>
    <w:rsid w:val="00C8144E"/>
    <w:rsid w:val="00C81515"/>
    <w:rsid w:val="00C81AB5"/>
    <w:rsid w:val="00C81E86"/>
    <w:rsid w:val="00C81F88"/>
    <w:rsid w:val="00C82182"/>
    <w:rsid w:val="00C823A6"/>
    <w:rsid w:val="00C825FE"/>
    <w:rsid w:val="00C8267B"/>
    <w:rsid w:val="00C82B19"/>
    <w:rsid w:val="00C82C0D"/>
    <w:rsid w:val="00C82EBD"/>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5C5"/>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D58"/>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6BA"/>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43"/>
    <w:rsid w:val="00CB4DA5"/>
    <w:rsid w:val="00CB4DE2"/>
    <w:rsid w:val="00CB544B"/>
    <w:rsid w:val="00CB56DA"/>
    <w:rsid w:val="00CB5B9E"/>
    <w:rsid w:val="00CB5EA6"/>
    <w:rsid w:val="00CB5FA0"/>
    <w:rsid w:val="00CB6278"/>
    <w:rsid w:val="00CB6391"/>
    <w:rsid w:val="00CB654B"/>
    <w:rsid w:val="00CB6E5E"/>
    <w:rsid w:val="00CB78CD"/>
    <w:rsid w:val="00CB795A"/>
    <w:rsid w:val="00CB797F"/>
    <w:rsid w:val="00CB7DA2"/>
    <w:rsid w:val="00CB7E43"/>
    <w:rsid w:val="00CC004A"/>
    <w:rsid w:val="00CC0106"/>
    <w:rsid w:val="00CC01ED"/>
    <w:rsid w:val="00CC0504"/>
    <w:rsid w:val="00CC05B6"/>
    <w:rsid w:val="00CC0A65"/>
    <w:rsid w:val="00CC11C7"/>
    <w:rsid w:val="00CC14BE"/>
    <w:rsid w:val="00CC152B"/>
    <w:rsid w:val="00CC1624"/>
    <w:rsid w:val="00CC18E5"/>
    <w:rsid w:val="00CC1B29"/>
    <w:rsid w:val="00CC1C63"/>
    <w:rsid w:val="00CC1FE5"/>
    <w:rsid w:val="00CC24C1"/>
    <w:rsid w:val="00CC290C"/>
    <w:rsid w:val="00CC2E49"/>
    <w:rsid w:val="00CC38AD"/>
    <w:rsid w:val="00CC3D48"/>
    <w:rsid w:val="00CC3D7E"/>
    <w:rsid w:val="00CC3F6E"/>
    <w:rsid w:val="00CC4109"/>
    <w:rsid w:val="00CC410B"/>
    <w:rsid w:val="00CC4125"/>
    <w:rsid w:val="00CC43E7"/>
    <w:rsid w:val="00CC458F"/>
    <w:rsid w:val="00CC469B"/>
    <w:rsid w:val="00CC4C21"/>
    <w:rsid w:val="00CC5328"/>
    <w:rsid w:val="00CC546C"/>
    <w:rsid w:val="00CC571A"/>
    <w:rsid w:val="00CC5F87"/>
    <w:rsid w:val="00CC6082"/>
    <w:rsid w:val="00CC65FA"/>
    <w:rsid w:val="00CC678E"/>
    <w:rsid w:val="00CC6839"/>
    <w:rsid w:val="00CC695D"/>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0EC8"/>
    <w:rsid w:val="00CD171B"/>
    <w:rsid w:val="00CD17E1"/>
    <w:rsid w:val="00CD1A92"/>
    <w:rsid w:val="00CD1BB4"/>
    <w:rsid w:val="00CD1F55"/>
    <w:rsid w:val="00CD23CA"/>
    <w:rsid w:val="00CD27F9"/>
    <w:rsid w:val="00CD2902"/>
    <w:rsid w:val="00CD2DB9"/>
    <w:rsid w:val="00CD3291"/>
    <w:rsid w:val="00CD3495"/>
    <w:rsid w:val="00CD3619"/>
    <w:rsid w:val="00CD376B"/>
    <w:rsid w:val="00CD37B3"/>
    <w:rsid w:val="00CD3D5C"/>
    <w:rsid w:val="00CD3DBF"/>
    <w:rsid w:val="00CD3EC5"/>
    <w:rsid w:val="00CD3F28"/>
    <w:rsid w:val="00CD43D8"/>
    <w:rsid w:val="00CD448F"/>
    <w:rsid w:val="00CD4600"/>
    <w:rsid w:val="00CD4855"/>
    <w:rsid w:val="00CD49B2"/>
    <w:rsid w:val="00CD49C0"/>
    <w:rsid w:val="00CD4CE0"/>
    <w:rsid w:val="00CD50A2"/>
    <w:rsid w:val="00CD5106"/>
    <w:rsid w:val="00CD549E"/>
    <w:rsid w:val="00CD5530"/>
    <w:rsid w:val="00CD558A"/>
    <w:rsid w:val="00CD55D2"/>
    <w:rsid w:val="00CD57ED"/>
    <w:rsid w:val="00CD592B"/>
    <w:rsid w:val="00CD592C"/>
    <w:rsid w:val="00CD5D5F"/>
    <w:rsid w:val="00CD5D79"/>
    <w:rsid w:val="00CD624A"/>
    <w:rsid w:val="00CD6552"/>
    <w:rsid w:val="00CD6721"/>
    <w:rsid w:val="00CD69CD"/>
    <w:rsid w:val="00CD6ED2"/>
    <w:rsid w:val="00CD7171"/>
    <w:rsid w:val="00CD7610"/>
    <w:rsid w:val="00CD7A4D"/>
    <w:rsid w:val="00CD7B98"/>
    <w:rsid w:val="00CE01AD"/>
    <w:rsid w:val="00CE0270"/>
    <w:rsid w:val="00CE077E"/>
    <w:rsid w:val="00CE07BA"/>
    <w:rsid w:val="00CE0975"/>
    <w:rsid w:val="00CE0A18"/>
    <w:rsid w:val="00CE0A2C"/>
    <w:rsid w:val="00CE0C79"/>
    <w:rsid w:val="00CE0DC1"/>
    <w:rsid w:val="00CE0EBE"/>
    <w:rsid w:val="00CE0F10"/>
    <w:rsid w:val="00CE10AC"/>
    <w:rsid w:val="00CE10FE"/>
    <w:rsid w:val="00CE1A22"/>
    <w:rsid w:val="00CE1BD9"/>
    <w:rsid w:val="00CE2202"/>
    <w:rsid w:val="00CE2781"/>
    <w:rsid w:val="00CE27DD"/>
    <w:rsid w:val="00CE2B12"/>
    <w:rsid w:val="00CE33DA"/>
    <w:rsid w:val="00CE37BE"/>
    <w:rsid w:val="00CE3903"/>
    <w:rsid w:val="00CE3BE7"/>
    <w:rsid w:val="00CE3C10"/>
    <w:rsid w:val="00CE3C27"/>
    <w:rsid w:val="00CE40E1"/>
    <w:rsid w:val="00CE42A8"/>
    <w:rsid w:val="00CE43B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D3E"/>
    <w:rsid w:val="00CF1E70"/>
    <w:rsid w:val="00CF2143"/>
    <w:rsid w:val="00CF23ED"/>
    <w:rsid w:val="00CF2838"/>
    <w:rsid w:val="00CF2D01"/>
    <w:rsid w:val="00CF2F19"/>
    <w:rsid w:val="00CF306C"/>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155"/>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EA7"/>
    <w:rsid w:val="00D110BC"/>
    <w:rsid w:val="00D11113"/>
    <w:rsid w:val="00D11690"/>
    <w:rsid w:val="00D11790"/>
    <w:rsid w:val="00D11E4A"/>
    <w:rsid w:val="00D120AF"/>
    <w:rsid w:val="00D120DB"/>
    <w:rsid w:val="00D12206"/>
    <w:rsid w:val="00D12287"/>
    <w:rsid w:val="00D12684"/>
    <w:rsid w:val="00D12935"/>
    <w:rsid w:val="00D130BA"/>
    <w:rsid w:val="00D13103"/>
    <w:rsid w:val="00D13239"/>
    <w:rsid w:val="00D135FE"/>
    <w:rsid w:val="00D1388B"/>
    <w:rsid w:val="00D13AF7"/>
    <w:rsid w:val="00D13C73"/>
    <w:rsid w:val="00D13CFC"/>
    <w:rsid w:val="00D13D6B"/>
    <w:rsid w:val="00D14001"/>
    <w:rsid w:val="00D145B7"/>
    <w:rsid w:val="00D147BF"/>
    <w:rsid w:val="00D14BDC"/>
    <w:rsid w:val="00D151AC"/>
    <w:rsid w:val="00D15435"/>
    <w:rsid w:val="00D1547D"/>
    <w:rsid w:val="00D15834"/>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6B9"/>
    <w:rsid w:val="00D26C23"/>
    <w:rsid w:val="00D26F20"/>
    <w:rsid w:val="00D2720F"/>
    <w:rsid w:val="00D2746B"/>
    <w:rsid w:val="00D275F4"/>
    <w:rsid w:val="00D304C0"/>
    <w:rsid w:val="00D30D55"/>
    <w:rsid w:val="00D30E4D"/>
    <w:rsid w:val="00D30FC9"/>
    <w:rsid w:val="00D31082"/>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BC4"/>
    <w:rsid w:val="00D33F46"/>
    <w:rsid w:val="00D3420C"/>
    <w:rsid w:val="00D3424A"/>
    <w:rsid w:val="00D343F6"/>
    <w:rsid w:val="00D3469D"/>
    <w:rsid w:val="00D34799"/>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3A5F"/>
    <w:rsid w:val="00D53A63"/>
    <w:rsid w:val="00D53BBC"/>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1147"/>
    <w:rsid w:val="00D61366"/>
    <w:rsid w:val="00D613BD"/>
    <w:rsid w:val="00D618CE"/>
    <w:rsid w:val="00D6194F"/>
    <w:rsid w:val="00D61AA1"/>
    <w:rsid w:val="00D61CFF"/>
    <w:rsid w:val="00D61E64"/>
    <w:rsid w:val="00D62475"/>
    <w:rsid w:val="00D624EF"/>
    <w:rsid w:val="00D6260E"/>
    <w:rsid w:val="00D626D4"/>
    <w:rsid w:val="00D62738"/>
    <w:rsid w:val="00D62BB1"/>
    <w:rsid w:val="00D62C98"/>
    <w:rsid w:val="00D62DEC"/>
    <w:rsid w:val="00D62F12"/>
    <w:rsid w:val="00D62F75"/>
    <w:rsid w:val="00D63317"/>
    <w:rsid w:val="00D6360C"/>
    <w:rsid w:val="00D63626"/>
    <w:rsid w:val="00D636CA"/>
    <w:rsid w:val="00D63AAD"/>
    <w:rsid w:val="00D63C5A"/>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AA9"/>
    <w:rsid w:val="00D71D42"/>
    <w:rsid w:val="00D71EAD"/>
    <w:rsid w:val="00D727BC"/>
    <w:rsid w:val="00D72B2E"/>
    <w:rsid w:val="00D72D30"/>
    <w:rsid w:val="00D72E7D"/>
    <w:rsid w:val="00D72FA4"/>
    <w:rsid w:val="00D730B4"/>
    <w:rsid w:val="00D734CA"/>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6FD2"/>
    <w:rsid w:val="00D7703E"/>
    <w:rsid w:val="00D7711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CC4"/>
    <w:rsid w:val="00D82E5D"/>
    <w:rsid w:val="00D83674"/>
    <w:rsid w:val="00D83E71"/>
    <w:rsid w:val="00D8407B"/>
    <w:rsid w:val="00D843B2"/>
    <w:rsid w:val="00D843F7"/>
    <w:rsid w:val="00D846D1"/>
    <w:rsid w:val="00D8495E"/>
    <w:rsid w:val="00D84E73"/>
    <w:rsid w:val="00D85918"/>
    <w:rsid w:val="00D860DC"/>
    <w:rsid w:val="00D86852"/>
    <w:rsid w:val="00D86A1E"/>
    <w:rsid w:val="00D87676"/>
    <w:rsid w:val="00D8795E"/>
    <w:rsid w:val="00D87B7F"/>
    <w:rsid w:val="00D87C6B"/>
    <w:rsid w:val="00D87E77"/>
    <w:rsid w:val="00D90042"/>
    <w:rsid w:val="00D9037D"/>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8B9"/>
    <w:rsid w:val="00D9294D"/>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78F"/>
    <w:rsid w:val="00D95B22"/>
    <w:rsid w:val="00D95EFB"/>
    <w:rsid w:val="00D96261"/>
    <w:rsid w:val="00D96637"/>
    <w:rsid w:val="00D96D4E"/>
    <w:rsid w:val="00D97429"/>
    <w:rsid w:val="00D97D48"/>
    <w:rsid w:val="00D97E6C"/>
    <w:rsid w:val="00DA050B"/>
    <w:rsid w:val="00DA0C62"/>
    <w:rsid w:val="00DA0C63"/>
    <w:rsid w:val="00DA1219"/>
    <w:rsid w:val="00DA128C"/>
    <w:rsid w:val="00DA1886"/>
    <w:rsid w:val="00DA193E"/>
    <w:rsid w:val="00DA1A62"/>
    <w:rsid w:val="00DA1C66"/>
    <w:rsid w:val="00DA1EA9"/>
    <w:rsid w:val="00DA2165"/>
    <w:rsid w:val="00DA2359"/>
    <w:rsid w:val="00DA2582"/>
    <w:rsid w:val="00DA2A7D"/>
    <w:rsid w:val="00DA2AFE"/>
    <w:rsid w:val="00DA2CF4"/>
    <w:rsid w:val="00DA3246"/>
    <w:rsid w:val="00DA32E6"/>
    <w:rsid w:val="00DA32F7"/>
    <w:rsid w:val="00DA37D6"/>
    <w:rsid w:val="00DA3909"/>
    <w:rsid w:val="00DA39C5"/>
    <w:rsid w:val="00DA39D3"/>
    <w:rsid w:val="00DA3A58"/>
    <w:rsid w:val="00DA3B0F"/>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79C"/>
    <w:rsid w:val="00DB0D8A"/>
    <w:rsid w:val="00DB1E5E"/>
    <w:rsid w:val="00DB2138"/>
    <w:rsid w:val="00DB227D"/>
    <w:rsid w:val="00DB2304"/>
    <w:rsid w:val="00DB244D"/>
    <w:rsid w:val="00DB2503"/>
    <w:rsid w:val="00DB252F"/>
    <w:rsid w:val="00DB253B"/>
    <w:rsid w:val="00DB2997"/>
    <w:rsid w:val="00DB2A6B"/>
    <w:rsid w:val="00DB2D39"/>
    <w:rsid w:val="00DB2D4F"/>
    <w:rsid w:val="00DB2EAA"/>
    <w:rsid w:val="00DB3440"/>
    <w:rsid w:val="00DB36A9"/>
    <w:rsid w:val="00DB3BFE"/>
    <w:rsid w:val="00DB41E5"/>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DDF"/>
    <w:rsid w:val="00DB7E64"/>
    <w:rsid w:val="00DC00C2"/>
    <w:rsid w:val="00DC029A"/>
    <w:rsid w:val="00DC0462"/>
    <w:rsid w:val="00DC05B3"/>
    <w:rsid w:val="00DC0A8A"/>
    <w:rsid w:val="00DC0B1E"/>
    <w:rsid w:val="00DC0CBC"/>
    <w:rsid w:val="00DC0CE3"/>
    <w:rsid w:val="00DC0DF5"/>
    <w:rsid w:val="00DC126B"/>
    <w:rsid w:val="00DC1298"/>
    <w:rsid w:val="00DC1416"/>
    <w:rsid w:val="00DC1A2A"/>
    <w:rsid w:val="00DC1E70"/>
    <w:rsid w:val="00DC212B"/>
    <w:rsid w:val="00DC21C8"/>
    <w:rsid w:val="00DC2252"/>
    <w:rsid w:val="00DC2559"/>
    <w:rsid w:val="00DC268E"/>
    <w:rsid w:val="00DC32FA"/>
    <w:rsid w:val="00DC340D"/>
    <w:rsid w:val="00DC3730"/>
    <w:rsid w:val="00DC37CA"/>
    <w:rsid w:val="00DC3850"/>
    <w:rsid w:val="00DC3A11"/>
    <w:rsid w:val="00DC3C37"/>
    <w:rsid w:val="00DC3C8B"/>
    <w:rsid w:val="00DC3E21"/>
    <w:rsid w:val="00DC402F"/>
    <w:rsid w:val="00DC427A"/>
    <w:rsid w:val="00DC46EC"/>
    <w:rsid w:val="00DC47E3"/>
    <w:rsid w:val="00DC485D"/>
    <w:rsid w:val="00DC4936"/>
    <w:rsid w:val="00DC4B55"/>
    <w:rsid w:val="00DC4C98"/>
    <w:rsid w:val="00DC4EB3"/>
    <w:rsid w:val="00DC5268"/>
    <w:rsid w:val="00DC5603"/>
    <w:rsid w:val="00DC57BD"/>
    <w:rsid w:val="00DC584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FFD"/>
    <w:rsid w:val="00DD214E"/>
    <w:rsid w:val="00DD21EF"/>
    <w:rsid w:val="00DD2257"/>
    <w:rsid w:val="00DD2A10"/>
    <w:rsid w:val="00DD2CA3"/>
    <w:rsid w:val="00DD2E5A"/>
    <w:rsid w:val="00DD34BF"/>
    <w:rsid w:val="00DD350D"/>
    <w:rsid w:val="00DD360F"/>
    <w:rsid w:val="00DD3B19"/>
    <w:rsid w:val="00DD3CD5"/>
    <w:rsid w:val="00DD3DFE"/>
    <w:rsid w:val="00DD3E5D"/>
    <w:rsid w:val="00DD417C"/>
    <w:rsid w:val="00DD4216"/>
    <w:rsid w:val="00DD4977"/>
    <w:rsid w:val="00DD4F33"/>
    <w:rsid w:val="00DD4F6E"/>
    <w:rsid w:val="00DD50DD"/>
    <w:rsid w:val="00DD5AE1"/>
    <w:rsid w:val="00DD5F2A"/>
    <w:rsid w:val="00DD618C"/>
    <w:rsid w:val="00DD624B"/>
    <w:rsid w:val="00DD66A3"/>
    <w:rsid w:val="00DD6915"/>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6C3"/>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8F"/>
    <w:rsid w:val="00DE7FF2"/>
    <w:rsid w:val="00DF00AB"/>
    <w:rsid w:val="00DF02FD"/>
    <w:rsid w:val="00DF041D"/>
    <w:rsid w:val="00DF0448"/>
    <w:rsid w:val="00DF094A"/>
    <w:rsid w:val="00DF0B45"/>
    <w:rsid w:val="00DF0C14"/>
    <w:rsid w:val="00DF0D1E"/>
    <w:rsid w:val="00DF0EC3"/>
    <w:rsid w:val="00DF11E6"/>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D7E"/>
    <w:rsid w:val="00DF31E0"/>
    <w:rsid w:val="00DF34FC"/>
    <w:rsid w:val="00DF3791"/>
    <w:rsid w:val="00DF397B"/>
    <w:rsid w:val="00DF3E62"/>
    <w:rsid w:val="00DF3EF4"/>
    <w:rsid w:val="00DF3FFA"/>
    <w:rsid w:val="00DF4239"/>
    <w:rsid w:val="00DF426B"/>
    <w:rsid w:val="00DF4B43"/>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B63"/>
    <w:rsid w:val="00E07BA2"/>
    <w:rsid w:val="00E07ECA"/>
    <w:rsid w:val="00E10018"/>
    <w:rsid w:val="00E10144"/>
    <w:rsid w:val="00E10775"/>
    <w:rsid w:val="00E10789"/>
    <w:rsid w:val="00E109D4"/>
    <w:rsid w:val="00E10D82"/>
    <w:rsid w:val="00E10E74"/>
    <w:rsid w:val="00E10F6B"/>
    <w:rsid w:val="00E10FD6"/>
    <w:rsid w:val="00E11425"/>
    <w:rsid w:val="00E1181D"/>
    <w:rsid w:val="00E119DC"/>
    <w:rsid w:val="00E11FC2"/>
    <w:rsid w:val="00E1206A"/>
    <w:rsid w:val="00E127FB"/>
    <w:rsid w:val="00E12BBB"/>
    <w:rsid w:val="00E12E43"/>
    <w:rsid w:val="00E12EF5"/>
    <w:rsid w:val="00E12F06"/>
    <w:rsid w:val="00E1347E"/>
    <w:rsid w:val="00E139CA"/>
    <w:rsid w:val="00E13CE2"/>
    <w:rsid w:val="00E14123"/>
    <w:rsid w:val="00E14375"/>
    <w:rsid w:val="00E143A3"/>
    <w:rsid w:val="00E144D0"/>
    <w:rsid w:val="00E149CF"/>
    <w:rsid w:val="00E149FF"/>
    <w:rsid w:val="00E1589C"/>
    <w:rsid w:val="00E1598C"/>
    <w:rsid w:val="00E159B2"/>
    <w:rsid w:val="00E15B64"/>
    <w:rsid w:val="00E15C46"/>
    <w:rsid w:val="00E15CC3"/>
    <w:rsid w:val="00E15CDB"/>
    <w:rsid w:val="00E15FFD"/>
    <w:rsid w:val="00E16000"/>
    <w:rsid w:val="00E161B9"/>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0B89"/>
    <w:rsid w:val="00E21102"/>
    <w:rsid w:val="00E21203"/>
    <w:rsid w:val="00E218F9"/>
    <w:rsid w:val="00E21DEF"/>
    <w:rsid w:val="00E225AD"/>
    <w:rsid w:val="00E225E7"/>
    <w:rsid w:val="00E22629"/>
    <w:rsid w:val="00E22787"/>
    <w:rsid w:val="00E22C0D"/>
    <w:rsid w:val="00E22E62"/>
    <w:rsid w:val="00E232BC"/>
    <w:rsid w:val="00E234D2"/>
    <w:rsid w:val="00E23571"/>
    <w:rsid w:val="00E235C2"/>
    <w:rsid w:val="00E236FD"/>
    <w:rsid w:val="00E23F21"/>
    <w:rsid w:val="00E24340"/>
    <w:rsid w:val="00E24B99"/>
    <w:rsid w:val="00E24DF6"/>
    <w:rsid w:val="00E25793"/>
    <w:rsid w:val="00E25D45"/>
    <w:rsid w:val="00E264AB"/>
    <w:rsid w:val="00E2656C"/>
    <w:rsid w:val="00E265FF"/>
    <w:rsid w:val="00E267FB"/>
    <w:rsid w:val="00E26AB2"/>
    <w:rsid w:val="00E26ECE"/>
    <w:rsid w:val="00E2710C"/>
    <w:rsid w:val="00E271DA"/>
    <w:rsid w:val="00E27729"/>
    <w:rsid w:val="00E27DDB"/>
    <w:rsid w:val="00E27FC9"/>
    <w:rsid w:val="00E30227"/>
    <w:rsid w:val="00E303F3"/>
    <w:rsid w:val="00E304F7"/>
    <w:rsid w:val="00E3093D"/>
    <w:rsid w:val="00E30D80"/>
    <w:rsid w:val="00E30DBD"/>
    <w:rsid w:val="00E30DFA"/>
    <w:rsid w:val="00E30F82"/>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060"/>
    <w:rsid w:val="00E355A4"/>
    <w:rsid w:val="00E35A0C"/>
    <w:rsid w:val="00E35C5A"/>
    <w:rsid w:val="00E363FD"/>
    <w:rsid w:val="00E36760"/>
    <w:rsid w:val="00E368AF"/>
    <w:rsid w:val="00E36B93"/>
    <w:rsid w:val="00E36F0D"/>
    <w:rsid w:val="00E36F12"/>
    <w:rsid w:val="00E37113"/>
    <w:rsid w:val="00E37269"/>
    <w:rsid w:val="00E3731B"/>
    <w:rsid w:val="00E374C3"/>
    <w:rsid w:val="00E37633"/>
    <w:rsid w:val="00E37D4B"/>
    <w:rsid w:val="00E37D71"/>
    <w:rsid w:val="00E37E67"/>
    <w:rsid w:val="00E37F90"/>
    <w:rsid w:val="00E37FD2"/>
    <w:rsid w:val="00E40633"/>
    <w:rsid w:val="00E40679"/>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924"/>
    <w:rsid w:val="00E43E16"/>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87A"/>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62"/>
    <w:rsid w:val="00E53FE9"/>
    <w:rsid w:val="00E541E9"/>
    <w:rsid w:val="00E54276"/>
    <w:rsid w:val="00E545CE"/>
    <w:rsid w:val="00E5476F"/>
    <w:rsid w:val="00E54A60"/>
    <w:rsid w:val="00E54B20"/>
    <w:rsid w:val="00E54B8F"/>
    <w:rsid w:val="00E54C14"/>
    <w:rsid w:val="00E54CA4"/>
    <w:rsid w:val="00E54D81"/>
    <w:rsid w:val="00E54D92"/>
    <w:rsid w:val="00E55415"/>
    <w:rsid w:val="00E55557"/>
    <w:rsid w:val="00E5579B"/>
    <w:rsid w:val="00E558B0"/>
    <w:rsid w:val="00E5613C"/>
    <w:rsid w:val="00E56267"/>
    <w:rsid w:val="00E56735"/>
    <w:rsid w:val="00E56A6A"/>
    <w:rsid w:val="00E56BB8"/>
    <w:rsid w:val="00E574B5"/>
    <w:rsid w:val="00E57526"/>
    <w:rsid w:val="00E57599"/>
    <w:rsid w:val="00E576B2"/>
    <w:rsid w:val="00E577CC"/>
    <w:rsid w:val="00E57AA3"/>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3B7F"/>
    <w:rsid w:val="00E6403C"/>
    <w:rsid w:val="00E64343"/>
    <w:rsid w:val="00E643A6"/>
    <w:rsid w:val="00E647AF"/>
    <w:rsid w:val="00E64B24"/>
    <w:rsid w:val="00E64C66"/>
    <w:rsid w:val="00E652B7"/>
    <w:rsid w:val="00E655FF"/>
    <w:rsid w:val="00E65CF1"/>
    <w:rsid w:val="00E65E14"/>
    <w:rsid w:val="00E65E3B"/>
    <w:rsid w:val="00E66333"/>
    <w:rsid w:val="00E667F8"/>
    <w:rsid w:val="00E66AA1"/>
    <w:rsid w:val="00E66D70"/>
    <w:rsid w:val="00E66FEF"/>
    <w:rsid w:val="00E6713C"/>
    <w:rsid w:val="00E673C4"/>
    <w:rsid w:val="00E67753"/>
    <w:rsid w:val="00E678CC"/>
    <w:rsid w:val="00E67B19"/>
    <w:rsid w:val="00E67BC4"/>
    <w:rsid w:val="00E67C49"/>
    <w:rsid w:val="00E67D48"/>
    <w:rsid w:val="00E705CD"/>
    <w:rsid w:val="00E711C6"/>
    <w:rsid w:val="00E71802"/>
    <w:rsid w:val="00E718C0"/>
    <w:rsid w:val="00E71A0B"/>
    <w:rsid w:val="00E71C79"/>
    <w:rsid w:val="00E71D4E"/>
    <w:rsid w:val="00E71F8E"/>
    <w:rsid w:val="00E720BD"/>
    <w:rsid w:val="00E722CA"/>
    <w:rsid w:val="00E722EF"/>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400"/>
    <w:rsid w:val="00E817BA"/>
    <w:rsid w:val="00E81847"/>
    <w:rsid w:val="00E8189E"/>
    <w:rsid w:val="00E81C86"/>
    <w:rsid w:val="00E81F2E"/>
    <w:rsid w:val="00E82653"/>
    <w:rsid w:val="00E828BD"/>
    <w:rsid w:val="00E82BB8"/>
    <w:rsid w:val="00E82DA9"/>
    <w:rsid w:val="00E83113"/>
    <w:rsid w:val="00E8332E"/>
    <w:rsid w:val="00E83423"/>
    <w:rsid w:val="00E8344B"/>
    <w:rsid w:val="00E8345B"/>
    <w:rsid w:val="00E836AC"/>
    <w:rsid w:val="00E83932"/>
    <w:rsid w:val="00E83C54"/>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318D"/>
    <w:rsid w:val="00EA42D6"/>
    <w:rsid w:val="00EA4314"/>
    <w:rsid w:val="00EA43EE"/>
    <w:rsid w:val="00EA47F7"/>
    <w:rsid w:val="00EA5315"/>
    <w:rsid w:val="00EA5696"/>
    <w:rsid w:val="00EA592E"/>
    <w:rsid w:val="00EA5A07"/>
    <w:rsid w:val="00EA5C35"/>
    <w:rsid w:val="00EA5C4A"/>
    <w:rsid w:val="00EA5C6E"/>
    <w:rsid w:val="00EA5DFA"/>
    <w:rsid w:val="00EA650A"/>
    <w:rsid w:val="00EA6526"/>
    <w:rsid w:val="00EA6615"/>
    <w:rsid w:val="00EA6717"/>
    <w:rsid w:val="00EA6D06"/>
    <w:rsid w:val="00EA6F62"/>
    <w:rsid w:val="00EA71E5"/>
    <w:rsid w:val="00EA77EE"/>
    <w:rsid w:val="00EA7996"/>
    <w:rsid w:val="00EA7A00"/>
    <w:rsid w:val="00EB042F"/>
    <w:rsid w:val="00EB0464"/>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6F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CC4"/>
    <w:rsid w:val="00EC2F10"/>
    <w:rsid w:val="00EC3290"/>
    <w:rsid w:val="00EC34FF"/>
    <w:rsid w:val="00EC351E"/>
    <w:rsid w:val="00EC355E"/>
    <w:rsid w:val="00EC35C4"/>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BA5"/>
    <w:rsid w:val="00EC6C0B"/>
    <w:rsid w:val="00EC7186"/>
    <w:rsid w:val="00EC7719"/>
    <w:rsid w:val="00EC7727"/>
    <w:rsid w:val="00EC7C1B"/>
    <w:rsid w:val="00EC7F54"/>
    <w:rsid w:val="00ED00C2"/>
    <w:rsid w:val="00ED0328"/>
    <w:rsid w:val="00ED0336"/>
    <w:rsid w:val="00ED04C6"/>
    <w:rsid w:val="00ED088C"/>
    <w:rsid w:val="00ED0C4A"/>
    <w:rsid w:val="00ED0D76"/>
    <w:rsid w:val="00ED0F0A"/>
    <w:rsid w:val="00ED1334"/>
    <w:rsid w:val="00ED143E"/>
    <w:rsid w:val="00ED17A9"/>
    <w:rsid w:val="00ED1B82"/>
    <w:rsid w:val="00ED1CA6"/>
    <w:rsid w:val="00ED1D56"/>
    <w:rsid w:val="00ED20BB"/>
    <w:rsid w:val="00ED2D1C"/>
    <w:rsid w:val="00ED3090"/>
    <w:rsid w:val="00ED30B8"/>
    <w:rsid w:val="00ED3537"/>
    <w:rsid w:val="00ED3A88"/>
    <w:rsid w:val="00ED3B20"/>
    <w:rsid w:val="00ED3B3D"/>
    <w:rsid w:val="00ED3D24"/>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63"/>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B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112E"/>
    <w:rsid w:val="00F0164E"/>
    <w:rsid w:val="00F0258B"/>
    <w:rsid w:val="00F02645"/>
    <w:rsid w:val="00F028CD"/>
    <w:rsid w:val="00F02A50"/>
    <w:rsid w:val="00F02C22"/>
    <w:rsid w:val="00F02D61"/>
    <w:rsid w:val="00F02ED6"/>
    <w:rsid w:val="00F031D5"/>
    <w:rsid w:val="00F033A8"/>
    <w:rsid w:val="00F0378D"/>
    <w:rsid w:val="00F03C01"/>
    <w:rsid w:val="00F03F60"/>
    <w:rsid w:val="00F04985"/>
    <w:rsid w:val="00F049CF"/>
    <w:rsid w:val="00F04A38"/>
    <w:rsid w:val="00F04AE3"/>
    <w:rsid w:val="00F04C28"/>
    <w:rsid w:val="00F04F92"/>
    <w:rsid w:val="00F04FFC"/>
    <w:rsid w:val="00F05190"/>
    <w:rsid w:val="00F0584C"/>
    <w:rsid w:val="00F05B34"/>
    <w:rsid w:val="00F05F61"/>
    <w:rsid w:val="00F062D1"/>
    <w:rsid w:val="00F06476"/>
    <w:rsid w:val="00F06FAB"/>
    <w:rsid w:val="00F072E4"/>
    <w:rsid w:val="00F076F4"/>
    <w:rsid w:val="00F0790D"/>
    <w:rsid w:val="00F101E4"/>
    <w:rsid w:val="00F1045D"/>
    <w:rsid w:val="00F10492"/>
    <w:rsid w:val="00F10520"/>
    <w:rsid w:val="00F10739"/>
    <w:rsid w:val="00F108A2"/>
    <w:rsid w:val="00F10AE9"/>
    <w:rsid w:val="00F10B16"/>
    <w:rsid w:val="00F10BE1"/>
    <w:rsid w:val="00F10D07"/>
    <w:rsid w:val="00F110FE"/>
    <w:rsid w:val="00F112D9"/>
    <w:rsid w:val="00F11300"/>
    <w:rsid w:val="00F115DB"/>
    <w:rsid w:val="00F11621"/>
    <w:rsid w:val="00F1170F"/>
    <w:rsid w:val="00F117AF"/>
    <w:rsid w:val="00F11A31"/>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37F"/>
    <w:rsid w:val="00F254D3"/>
    <w:rsid w:val="00F25634"/>
    <w:rsid w:val="00F258E5"/>
    <w:rsid w:val="00F25B42"/>
    <w:rsid w:val="00F25CFB"/>
    <w:rsid w:val="00F25D98"/>
    <w:rsid w:val="00F261D9"/>
    <w:rsid w:val="00F26375"/>
    <w:rsid w:val="00F2663C"/>
    <w:rsid w:val="00F26F9E"/>
    <w:rsid w:val="00F27105"/>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4F4"/>
    <w:rsid w:val="00F316A7"/>
    <w:rsid w:val="00F316AC"/>
    <w:rsid w:val="00F317D0"/>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BFB"/>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A2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33"/>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1C0D"/>
    <w:rsid w:val="00F7207D"/>
    <w:rsid w:val="00F7228B"/>
    <w:rsid w:val="00F72697"/>
    <w:rsid w:val="00F727EA"/>
    <w:rsid w:val="00F72982"/>
    <w:rsid w:val="00F72A25"/>
    <w:rsid w:val="00F72B3C"/>
    <w:rsid w:val="00F733D2"/>
    <w:rsid w:val="00F7347C"/>
    <w:rsid w:val="00F7369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16B"/>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CE"/>
    <w:rsid w:val="00F83AAB"/>
    <w:rsid w:val="00F84163"/>
    <w:rsid w:val="00F841F1"/>
    <w:rsid w:val="00F84699"/>
    <w:rsid w:val="00F84C6E"/>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0FF5"/>
    <w:rsid w:val="00F9112F"/>
    <w:rsid w:val="00F91679"/>
    <w:rsid w:val="00F916E8"/>
    <w:rsid w:val="00F9189F"/>
    <w:rsid w:val="00F91C99"/>
    <w:rsid w:val="00F91E87"/>
    <w:rsid w:val="00F91F60"/>
    <w:rsid w:val="00F91F7E"/>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6B2"/>
    <w:rsid w:val="00F96869"/>
    <w:rsid w:val="00F96A52"/>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312"/>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980"/>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4D"/>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05"/>
    <w:rsid w:val="00FD46A2"/>
    <w:rsid w:val="00FD4C0D"/>
    <w:rsid w:val="00FD4C1D"/>
    <w:rsid w:val="00FD4D30"/>
    <w:rsid w:val="00FD4EA3"/>
    <w:rsid w:val="00FD52BA"/>
    <w:rsid w:val="00FD53A3"/>
    <w:rsid w:val="00FD584B"/>
    <w:rsid w:val="00FD5A49"/>
    <w:rsid w:val="00FD5A6C"/>
    <w:rsid w:val="00FD5CCA"/>
    <w:rsid w:val="00FD5D0D"/>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C8D"/>
    <w:rsid w:val="00FE2EDF"/>
    <w:rsid w:val="00FE37CA"/>
    <w:rsid w:val="00FE3DBC"/>
    <w:rsid w:val="00FE42DE"/>
    <w:rsid w:val="00FE436D"/>
    <w:rsid w:val="00FE46F0"/>
    <w:rsid w:val="00FE4872"/>
    <w:rsid w:val="00FE49B8"/>
    <w:rsid w:val="00FE4D18"/>
    <w:rsid w:val="00FE4D93"/>
    <w:rsid w:val="00FE519A"/>
    <w:rsid w:val="00FE5301"/>
    <w:rsid w:val="00FE536A"/>
    <w:rsid w:val="00FE536E"/>
    <w:rsid w:val="00FE53C6"/>
    <w:rsid w:val="00FE5572"/>
    <w:rsid w:val="00FE55CC"/>
    <w:rsid w:val="00FE55FE"/>
    <w:rsid w:val="00FE5D86"/>
    <w:rsid w:val="00FE6426"/>
    <w:rsid w:val="00FE642B"/>
    <w:rsid w:val="00FE6A17"/>
    <w:rsid w:val="00FE6F07"/>
    <w:rsid w:val="00FE77BA"/>
    <w:rsid w:val="00FE788C"/>
    <w:rsid w:val="00FE7A7B"/>
    <w:rsid w:val="00FE7BB0"/>
    <w:rsid w:val="00FE7D17"/>
    <w:rsid w:val="00FE7D6C"/>
    <w:rsid w:val="00FE7D91"/>
    <w:rsid w:val="00FF013A"/>
    <w:rsid w:val="00FF044C"/>
    <w:rsid w:val="00FF0704"/>
    <w:rsid w:val="00FF070A"/>
    <w:rsid w:val="00FF078F"/>
    <w:rsid w:val="00FF0990"/>
    <w:rsid w:val="00FF0C0A"/>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
    <w:link w:val="Caption"/>
    <w:rsid w:val="00260902"/>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image" Target="media/image6.emf"/><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oleObject" Target="embeddings/oleObject12.bin"/><Relationship Id="rId30"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3954A68C-2087-4971-9882-3BDD103F3A2C}">
  <ds:schemaRefs>
    <ds:schemaRef ds:uri="http://schemas.microsoft.com/sharepoint/v3/contenttype/forms"/>
  </ds:schemaRefs>
</ds:datastoreItem>
</file>

<file path=customXml/itemProps2.xml><?xml version="1.0" encoding="utf-8"?>
<ds:datastoreItem xmlns:ds="http://schemas.openxmlformats.org/officeDocument/2006/customXml" ds:itemID="{8E47CDDC-80C5-4A95-86F4-62B234073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69A35D-C673-4FBD-AFD3-B48C1D8C9AD2}">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B33A4325-1B2F-4D74-8AA2-3A9AAE074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5</Pages>
  <Words>2127</Words>
  <Characters>12127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14226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24</cp:revision>
  <cp:lastPrinted>2017-10-02T09:51:00Z</cp:lastPrinted>
  <dcterms:created xsi:type="dcterms:W3CDTF">2019-08-13T11:22:00Z</dcterms:created>
  <dcterms:modified xsi:type="dcterms:W3CDTF">2019-08-17T02:07:00Z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